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2EF788C" w14:textId="04B945EB" w:rsidR="009F7D3D" w:rsidRPr="00D04C05" w:rsidRDefault="007D56D6" w:rsidP="00D04C05">
      <w:pPr>
        <w:rPr>
          <w:rFonts w:asciiTheme="minorHAnsi" w:hAnsiTheme="minorHAnsi" w:cstheme="minorHAnsi"/>
          <w:b/>
          <w:bCs/>
          <w:color w:val="4472C4" w:themeColor="accent1"/>
          <w:sz w:val="28"/>
          <w:szCs w:val="28"/>
        </w:rPr>
      </w:pPr>
      <w:r w:rsidRPr="007D56D6">
        <w:rPr>
          <w:rFonts w:asciiTheme="minorHAnsi" w:hAnsiTheme="minorHAnsi"/>
          <w:b/>
          <w:noProof/>
          <w:color w:val="4472C4" w:themeColor="accent1"/>
          <w:sz w:val="28"/>
        </w:rPr>
        <w:drawing>
          <wp:anchor distT="0" distB="0" distL="114300" distR="114300" simplePos="0" relativeHeight="251706368" behindDoc="0" locked="0" layoutInCell="1" allowOverlap="1" wp14:anchorId="3098F5DD" wp14:editId="04800E5B">
            <wp:simplePos x="0" y="0"/>
            <wp:positionH relativeFrom="column">
              <wp:posOffset>-1080135</wp:posOffset>
            </wp:positionH>
            <wp:positionV relativeFrom="paragraph">
              <wp:posOffset>-954386</wp:posOffset>
            </wp:positionV>
            <wp:extent cx="7642746" cy="10753378"/>
            <wp:effectExtent l="0" t="0" r="0" b="0"/>
            <wp:wrapNone/>
            <wp:docPr id="2145231807" name="Obrázek 1" descr="Obsah obrázku text, snímek obrazovky, grafický design, plakát&#10;&#10;Obsah generovaný pomocí AI může být nesprávn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5231807" name="Obrázek 1" descr="Obsah obrázku text, snímek obrazovky, grafický design, plakát&#10;&#10;Obsah generovaný pomocí AI může být nesprávný."/>
                    <pic:cNvPicPr/>
                  </pic:nvPicPr>
                  <pic:blipFill>
                    <a:blip r:embed="rId11">
                      <a:extLst>
                        <a:ext uri="{28A0092B-C50C-407E-A947-70E740481C1C}">
                          <a14:useLocalDpi xmlns:a14="http://schemas.microsoft.com/office/drawing/2010/main" val="0"/>
                        </a:ext>
                      </a:extLst>
                    </a:blip>
                    <a:stretch>
                      <a:fillRect/>
                    </a:stretch>
                  </pic:blipFill>
                  <pic:spPr>
                    <a:xfrm>
                      <a:off x="0" y="0"/>
                      <a:ext cx="7644537" cy="10755898"/>
                    </a:xfrm>
                    <a:prstGeom prst="rect">
                      <a:avLst/>
                    </a:prstGeom>
                  </pic:spPr>
                </pic:pic>
              </a:graphicData>
            </a:graphic>
            <wp14:sizeRelH relativeFrom="margin">
              <wp14:pctWidth>0</wp14:pctWidth>
            </wp14:sizeRelH>
            <wp14:sizeRelV relativeFrom="margin">
              <wp14:pctHeight>0</wp14:pctHeight>
            </wp14:sizeRelV>
          </wp:anchor>
        </w:drawing>
      </w:r>
      <w:r>
        <w:rPr>
          <w:rFonts w:asciiTheme="minorHAnsi" w:hAnsiTheme="minorHAnsi"/>
          <w:b/>
          <w:color w:val="4472C4" w:themeColor="accent1"/>
          <w:sz w:val="28"/>
        </w:rPr>
        <w:br w:type="page"/>
      </w:r>
    </w:p>
    <w:p w14:paraId="47F06E32" w14:textId="30190E9E" w:rsidR="00505929" w:rsidRPr="00C61069" w:rsidRDefault="00C61069" w:rsidP="00C61069">
      <w:pPr>
        <w:pStyle w:val="Odstavecseseznamem"/>
        <w:numPr>
          <w:ilvl w:val="1"/>
          <w:numId w:val="1"/>
        </w:numPr>
        <w:spacing w:after="120" w:line="276" w:lineRule="auto"/>
        <w:ind w:left="567" w:hanging="567"/>
        <w:contextualSpacing w:val="0"/>
        <w:jc w:val="both"/>
        <w:rPr>
          <w:rFonts w:cstheme="minorHAnsi"/>
          <w:b/>
          <w:bCs/>
          <w:color w:val="B6A04C"/>
          <w:sz w:val="32"/>
          <w:szCs w:val="32"/>
        </w:rPr>
      </w:pPr>
      <w:r w:rsidRPr="00C61069">
        <w:rPr>
          <w:rFonts w:cstheme="minorHAnsi"/>
          <w:b/>
          <w:bCs/>
          <w:color w:val="B6A04C"/>
          <w:sz w:val="32"/>
          <w:szCs w:val="32"/>
        </w:rPr>
        <w:lastRenderedPageBreak/>
        <w:t xml:space="preserve"> </w:t>
      </w:r>
      <w:r w:rsidR="00243A80" w:rsidRPr="00C61069">
        <w:rPr>
          <w:b/>
          <w:color w:val="B6A04C"/>
          <w:sz w:val="32"/>
          <w:szCs w:val="32"/>
        </w:rPr>
        <w:t>Právo Evropské unie</w:t>
      </w:r>
      <w:r w:rsidR="00460264" w:rsidRPr="00C61069">
        <w:rPr>
          <w:b/>
          <w:color w:val="B6A04C"/>
          <w:sz w:val="32"/>
          <w:szCs w:val="32"/>
        </w:rPr>
        <w:t xml:space="preserve"> a </w:t>
      </w:r>
      <w:r w:rsidR="00243A80" w:rsidRPr="00C61069">
        <w:rPr>
          <w:b/>
          <w:color w:val="B6A04C"/>
          <w:sz w:val="32"/>
          <w:szCs w:val="32"/>
        </w:rPr>
        <w:t>základní práva</w:t>
      </w:r>
    </w:p>
    <w:p w14:paraId="6DC05E1C" w14:textId="77777777" w:rsidR="00EC2273" w:rsidRPr="00674960" w:rsidRDefault="0000203F" w:rsidP="009F7D3D">
      <w:pPr>
        <w:spacing w:after="120" w:line="276" w:lineRule="auto"/>
        <w:jc w:val="both"/>
        <w:rPr>
          <w:rFonts w:cstheme="minorHAnsi"/>
          <w:color w:val="384575"/>
        </w:rPr>
      </w:pPr>
      <w:r w:rsidRPr="00674960">
        <w:rPr>
          <w:color w:val="384575"/>
        </w:rPr>
        <w:t xml:space="preserve">Dodržování lidských práv je jednou ze základních hodnot Evropské unie. Podle </w:t>
      </w:r>
      <w:r w:rsidR="00460264" w:rsidRPr="00674960">
        <w:rPr>
          <w:color w:val="384575"/>
        </w:rPr>
        <w:t>čl. </w:t>
      </w:r>
      <w:r w:rsidRPr="00674960">
        <w:rPr>
          <w:color w:val="384575"/>
        </w:rPr>
        <w:t>2 SEU je Evropská unie „založena na hodnotách úcty</w:t>
      </w:r>
      <w:r w:rsidR="00460264" w:rsidRPr="00674960">
        <w:rPr>
          <w:color w:val="384575"/>
        </w:rPr>
        <w:t xml:space="preserve"> k </w:t>
      </w:r>
      <w:r w:rsidRPr="00674960">
        <w:rPr>
          <w:color w:val="384575"/>
        </w:rPr>
        <w:t>lidské důstojnosti, svobody, demokracie, rovnosti, právního státu</w:t>
      </w:r>
      <w:r w:rsidR="00460264" w:rsidRPr="00674960">
        <w:rPr>
          <w:color w:val="384575"/>
        </w:rPr>
        <w:t xml:space="preserve"> a </w:t>
      </w:r>
      <w:r w:rsidRPr="00674960">
        <w:rPr>
          <w:color w:val="384575"/>
        </w:rPr>
        <w:t>dodržování lidských práv, včetně práv příslušníků menšin“. Základním požadavkem, aby se stát mohl ucházet o členství v EU, je podpora a uznávání těchto zásad (</w:t>
      </w:r>
      <w:r w:rsidR="00460264" w:rsidRPr="00674960">
        <w:rPr>
          <w:color w:val="384575"/>
        </w:rPr>
        <w:t>čl. </w:t>
      </w:r>
      <w:r w:rsidRPr="00674960">
        <w:rPr>
          <w:color w:val="384575"/>
        </w:rPr>
        <w:t>49 SEU). Členské státy musí kromě toho tyto zásady dodržovat</w:t>
      </w:r>
      <w:r w:rsidR="00460264" w:rsidRPr="00674960">
        <w:rPr>
          <w:color w:val="384575"/>
        </w:rPr>
        <w:t xml:space="preserve"> a </w:t>
      </w:r>
      <w:r w:rsidRPr="00674960">
        <w:rPr>
          <w:color w:val="384575"/>
        </w:rPr>
        <w:t>chránit</w:t>
      </w:r>
      <w:r w:rsidR="00460264" w:rsidRPr="00674960">
        <w:rPr>
          <w:color w:val="384575"/>
        </w:rPr>
        <w:t xml:space="preserve"> a </w:t>
      </w:r>
      <w:r w:rsidRPr="00674960">
        <w:rPr>
          <w:color w:val="384575"/>
        </w:rPr>
        <w:t>jejich případné porušení může vést</w:t>
      </w:r>
      <w:r w:rsidR="00460264" w:rsidRPr="00674960">
        <w:rPr>
          <w:color w:val="384575"/>
        </w:rPr>
        <w:t xml:space="preserve"> k </w:t>
      </w:r>
      <w:r w:rsidRPr="00674960">
        <w:rPr>
          <w:color w:val="384575"/>
        </w:rPr>
        <w:t>uplatnění sankcí stanovených</w:t>
      </w:r>
      <w:r w:rsidR="00460264" w:rsidRPr="00674960">
        <w:rPr>
          <w:color w:val="384575"/>
        </w:rPr>
        <w:t xml:space="preserve"> v </w:t>
      </w:r>
      <w:r w:rsidRPr="00674960">
        <w:rPr>
          <w:color w:val="384575"/>
        </w:rPr>
        <w:t xml:space="preserve">článku 7 SEU. </w:t>
      </w:r>
    </w:p>
    <w:p w14:paraId="07E7523C" w14:textId="77777777" w:rsidR="0000203F" w:rsidRPr="00674960" w:rsidRDefault="00EC2273" w:rsidP="00C61069">
      <w:pPr>
        <w:tabs>
          <w:tab w:val="left" w:pos="993"/>
        </w:tabs>
        <w:spacing w:after="120" w:line="276" w:lineRule="auto"/>
        <w:jc w:val="both"/>
        <w:rPr>
          <w:rFonts w:cstheme="minorHAnsi"/>
          <w:color w:val="384575"/>
        </w:rPr>
      </w:pPr>
      <w:r w:rsidRPr="00674960">
        <w:rPr>
          <w:color w:val="384575"/>
        </w:rPr>
        <w:t>Původní smlouvy Evropského společenství ochranu základních práv neupravovaly.</w:t>
      </w:r>
      <w:r w:rsidR="00460264" w:rsidRPr="00674960">
        <w:rPr>
          <w:color w:val="384575"/>
        </w:rPr>
        <w:t xml:space="preserve"> V </w:t>
      </w:r>
      <w:r w:rsidRPr="00674960">
        <w:rPr>
          <w:color w:val="384575"/>
        </w:rPr>
        <w:t>té době nebylo zavedení nástrojů na ochranu lidských práv považováno za nezbytné pro vytvoření společného trhu. O několik desetiletí později Soudní dvůr Evropské unie (dále jen „SDEU“) zaručil ochranu základních práv při uplatňování unijního práva tím, že je uznal jako obecné právní zásady</w:t>
      </w:r>
      <w:r w:rsidR="00460264" w:rsidRPr="00674960">
        <w:rPr>
          <w:color w:val="384575"/>
        </w:rPr>
        <w:t xml:space="preserve"> v </w:t>
      </w:r>
      <w:r w:rsidRPr="00674960">
        <w:rPr>
          <w:color w:val="384575"/>
        </w:rPr>
        <w:t xml:space="preserve">rámci tohoto právního systému. </w:t>
      </w:r>
    </w:p>
    <w:p w14:paraId="504A773A" w14:textId="77777777" w:rsidR="0000203F" w:rsidRPr="007D56D6" w:rsidRDefault="0000203F" w:rsidP="00EC2273">
      <w:pPr>
        <w:spacing w:line="276" w:lineRule="auto"/>
        <w:jc w:val="both"/>
        <w:rPr>
          <w:rFonts w:cstheme="minorHAnsi"/>
        </w:rPr>
      </w:pPr>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E2F3" w:themeFill="accent1" w:themeFillTint="33"/>
        <w:tblLook w:val="04A0" w:firstRow="1" w:lastRow="0" w:firstColumn="1" w:lastColumn="0" w:noHBand="0" w:noVBand="1"/>
      </w:tblPr>
      <w:tblGrid>
        <w:gridCol w:w="8613"/>
      </w:tblGrid>
      <w:tr w:rsidR="0000203F" w:rsidRPr="001E6D6E" w14:paraId="03E4911B" w14:textId="77777777" w:rsidTr="0048041D">
        <w:tc>
          <w:tcPr>
            <w:tcW w:w="8613" w:type="dxa"/>
            <w:shd w:val="clear" w:color="auto" w:fill="D9E2F3" w:themeFill="accent1" w:themeFillTint="33"/>
          </w:tcPr>
          <w:p w14:paraId="53CCC516" w14:textId="57E8C1AE" w:rsidR="0000203F" w:rsidRPr="00CC2A36" w:rsidRDefault="00CC2A36" w:rsidP="0048041D">
            <w:pPr>
              <w:spacing w:line="276" w:lineRule="auto"/>
              <w:jc w:val="right"/>
              <w:rPr>
                <w:rFonts w:asciiTheme="minorHAnsi" w:hAnsiTheme="minorHAnsi" w:cstheme="minorHAnsi"/>
                <w:b/>
                <w:bCs/>
                <w:color w:val="000000" w:themeColor="text1"/>
                <w:sz w:val="20"/>
                <w:szCs w:val="20"/>
              </w:rPr>
            </w:pPr>
            <w:hyperlink r:id="rId12" w:history="1">
              <w:r w:rsidR="0000203F" w:rsidRPr="00CC2A36">
                <w:rPr>
                  <w:rStyle w:val="Hypertextovodkaz"/>
                  <w:rFonts w:asciiTheme="minorHAnsi" w:hAnsiTheme="minorHAnsi"/>
                  <w:b/>
                  <w:color w:val="000000" w:themeColor="text1"/>
                  <w:sz w:val="20"/>
                </w:rPr>
                <w:t xml:space="preserve">Rozsudek Soudního dvora ze dne 12. listopadu 1969, </w:t>
              </w:r>
              <w:proofErr w:type="spellStart"/>
              <w:r w:rsidR="0000203F" w:rsidRPr="00CC2A36">
                <w:rPr>
                  <w:rStyle w:val="Hypertextovodkaz"/>
                  <w:rFonts w:asciiTheme="minorHAnsi" w:hAnsiTheme="minorHAnsi"/>
                  <w:b/>
                  <w:i/>
                  <w:iCs/>
                  <w:color w:val="000000" w:themeColor="text1"/>
                  <w:sz w:val="20"/>
                </w:rPr>
                <w:t>Stauder</w:t>
              </w:r>
              <w:proofErr w:type="spellEnd"/>
              <w:r w:rsidR="0000203F" w:rsidRPr="00CC2A36">
                <w:rPr>
                  <w:rStyle w:val="Hypertextovodkaz"/>
                  <w:rFonts w:asciiTheme="minorHAnsi" w:hAnsiTheme="minorHAnsi"/>
                  <w:b/>
                  <w:i/>
                  <w:iCs/>
                  <w:color w:val="000000" w:themeColor="text1"/>
                  <w:sz w:val="20"/>
                </w:rPr>
                <w:t xml:space="preserve"> v. City </w:t>
              </w:r>
              <w:proofErr w:type="spellStart"/>
              <w:r w:rsidR="0000203F" w:rsidRPr="00CC2A36">
                <w:rPr>
                  <w:rStyle w:val="Hypertextovodkaz"/>
                  <w:rFonts w:asciiTheme="minorHAnsi" w:hAnsiTheme="minorHAnsi"/>
                  <w:b/>
                  <w:i/>
                  <w:iCs/>
                  <w:color w:val="000000" w:themeColor="text1"/>
                  <w:sz w:val="20"/>
                </w:rPr>
                <w:t>of</w:t>
              </w:r>
              <w:proofErr w:type="spellEnd"/>
              <w:r w:rsidR="0000203F" w:rsidRPr="00CC2A36">
                <w:rPr>
                  <w:rStyle w:val="Hypertextovodkaz"/>
                  <w:rFonts w:asciiTheme="minorHAnsi" w:hAnsiTheme="minorHAnsi"/>
                  <w:b/>
                  <w:i/>
                  <w:iCs/>
                  <w:color w:val="000000" w:themeColor="text1"/>
                  <w:sz w:val="20"/>
                </w:rPr>
                <w:t xml:space="preserve"> </w:t>
              </w:r>
              <w:proofErr w:type="gramStart"/>
              <w:r w:rsidR="0000203F" w:rsidRPr="00CC2A36">
                <w:rPr>
                  <w:rStyle w:val="Hypertextovodkaz"/>
                  <w:rFonts w:asciiTheme="minorHAnsi" w:hAnsiTheme="minorHAnsi"/>
                  <w:b/>
                  <w:i/>
                  <w:iCs/>
                  <w:color w:val="000000" w:themeColor="text1"/>
                  <w:sz w:val="20"/>
                </w:rPr>
                <w:t xml:space="preserve">Ulm - </w:t>
              </w:r>
              <w:proofErr w:type="spellStart"/>
              <w:r w:rsidR="0000203F" w:rsidRPr="00CC2A36">
                <w:rPr>
                  <w:rStyle w:val="Hypertextovodkaz"/>
                  <w:rFonts w:asciiTheme="minorHAnsi" w:hAnsiTheme="minorHAnsi"/>
                  <w:b/>
                  <w:i/>
                  <w:iCs/>
                  <w:color w:val="000000" w:themeColor="text1"/>
                  <w:sz w:val="20"/>
                </w:rPr>
                <w:t>Sozialamt</w:t>
              </w:r>
              <w:proofErr w:type="spellEnd"/>
              <w:proofErr w:type="gramEnd"/>
              <w:r w:rsidR="0000203F" w:rsidRPr="00CC2A36">
                <w:rPr>
                  <w:rStyle w:val="Hypertextovodkaz"/>
                  <w:rFonts w:asciiTheme="minorHAnsi" w:hAnsiTheme="minorHAnsi"/>
                  <w:b/>
                  <w:color w:val="000000" w:themeColor="text1"/>
                  <w:sz w:val="20"/>
                </w:rPr>
                <w:t>, C-29/69, ECLI:EU:C:1969:57</w:t>
              </w:r>
            </w:hyperlink>
          </w:p>
          <w:p w14:paraId="71B1AEBC" w14:textId="77777777" w:rsidR="0000203F" w:rsidRPr="00CC2A36" w:rsidRDefault="0000203F" w:rsidP="0000203F">
            <w:pPr>
              <w:jc w:val="both"/>
              <w:rPr>
                <w:rFonts w:asciiTheme="minorHAnsi" w:hAnsiTheme="minorHAnsi" w:cstheme="minorHAnsi"/>
                <w:color w:val="000000" w:themeColor="text1"/>
                <w:sz w:val="20"/>
                <w:szCs w:val="20"/>
                <w:lang w:val="en-US"/>
              </w:rPr>
            </w:pPr>
          </w:p>
          <w:p w14:paraId="48896905" w14:textId="77777777" w:rsidR="0000203F" w:rsidRPr="00CC2A36" w:rsidRDefault="0000203F" w:rsidP="0000203F">
            <w:pPr>
              <w:jc w:val="both"/>
              <w:rPr>
                <w:rFonts w:asciiTheme="minorHAnsi" w:hAnsiTheme="minorHAnsi"/>
                <w:color w:val="000000" w:themeColor="text1"/>
                <w:sz w:val="20"/>
              </w:rPr>
            </w:pPr>
            <w:r w:rsidRPr="00CC2A36">
              <w:rPr>
                <w:rFonts w:asciiTheme="minorHAnsi" w:hAnsiTheme="minorHAnsi"/>
                <w:color w:val="000000" w:themeColor="text1"/>
                <w:sz w:val="20"/>
              </w:rPr>
              <w:t xml:space="preserve">E. </w:t>
            </w:r>
            <w:proofErr w:type="spellStart"/>
            <w:r w:rsidRPr="00CC2A36">
              <w:rPr>
                <w:rFonts w:asciiTheme="minorHAnsi" w:hAnsiTheme="minorHAnsi"/>
                <w:color w:val="000000" w:themeColor="text1"/>
                <w:sz w:val="20"/>
              </w:rPr>
              <w:t>Stauder</w:t>
            </w:r>
            <w:proofErr w:type="spellEnd"/>
            <w:r w:rsidRPr="00CC2A36">
              <w:rPr>
                <w:rFonts w:asciiTheme="minorHAnsi" w:hAnsiTheme="minorHAnsi"/>
                <w:color w:val="000000" w:themeColor="text1"/>
                <w:sz w:val="20"/>
              </w:rPr>
              <w:t xml:space="preserve"> byl příjemcem příspěvku sociálního zabezpečení pro válečné invalidy. Na základě rozhodnutí 69/71/EHS měl E. </w:t>
            </w:r>
            <w:proofErr w:type="spellStart"/>
            <w:r w:rsidRPr="00CC2A36">
              <w:rPr>
                <w:rFonts w:asciiTheme="minorHAnsi" w:hAnsiTheme="minorHAnsi"/>
                <w:color w:val="000000" w:themeColor="text1"/>
                <w:sz w:val="20"/>
              </w:rPr>
              <w:t>Stauder</w:t>
            </w:r>
            <w:proofErr w:type="spellEnd"/>
            <w:r w:rsidRPr="00CC2A36">
              <w:rPr>
                <w:rFonts w:asciiTheme="minorHAnsi" w:hAnsiTheme="minorHAnsi"/>
                <w:color w:val="000000" w:themeColor="text1"/>
                <w:sz w:val="20"/>
              </w:rPr>
              <w:t xml:space="preserve"> právo na nákup másla za zvýhodněné ceny.</w:t>
            </w:r>
            <w:r w:rsidR="00460264" w:rsidRPr="00CC2A36">
              <w:rPr>
                <w:rFonts w:asciiTheme="minorHAnsi" w:hAnsiTheme="minorHAnsi"/>
                <w:color w:val="000000" w:themeColor="text1"/>
                <w:sz w:val="20"/>
              </w:rPr>
              <w:t xml:space="preserve"> K </w:t>
            </w:r>
            <w:r w:rsidRPr="00CC2A36">
              <w:rPr>
                <w:rFonts w:asciiTheme="minorHAnsi" w:hAnsiTheme="minorHAnsi"/>
                <w:color w:val="000000" w:themeColor="text1"/>
                <w:sz w:val="20"/>
              </w:rPr>
              <w:t>získání másla bylo třeba předložit kupón se jménem</w:t>
            </w:r>
            <w:r w:rsidR="00460264" w:rsidRPr="00CC2A36">
              <w:rPr>
                <w:rFonts w:asciiTheme="minorHAnsi" w:hAnsiTheme="minorHAnsi"/>
                <w:color w:val="000000" w:themeColor="text1"/>
                <w:sz w:val="20"/>
              </w:rPr>
              <w:t xml:space="preserve"> a </w:t>
            </w:r>
            <w:r w:rsidRPr="00CC2A36">
              <w:rPr>
                <w:rFonts w:asciiTheme="minorHAnsi" w:hAnsiTheme="minorHAnsi"/>
                <w:color w:val="000000" w:themeColor="text1"/>
                <w:sz w:val="20"/>
              </w:rPr>
              <w:t xml:space="preserve">adresou příjemce. E. </w:t>
            </w:r>
            <w:proofErr w:type="spellStart"/>
            <w:r w:rsidRPr="00CC2A36">
              <w:rPr>
                <w:rFonts w:asciiTheme="minorHAnsi" w:hAnsiTheme="minorHAnsi"/>
                <w:color w:val="000000" w:themeColor="text1"/>
                <w:sz w:val="20"/>
              </w:rPr>
              <w:t>Stauder</w:t>
            </w:r>
            <w:proofErr w:type="spellEnd"/>
            <w:r w:rsidRPr="00CC2A36">
              <w:rPr>
                <w:rFonts w:asciiTheme="minorHAnsi" w:hAnsiTheme="minorHAnsi"/>
                <w:color w:val="000000" w:themeColor="text1"/>
                <w:sz w:val="20"/>
              </w:rPr>
              <w:t xml:space="preserve"> se domníval, že požadavek, aby bylo jméno příjemce uvedeno na výše uvedeném kupónu jako podmínka pro nákup másla, porušuje jeho důstojnost.</w:t>
            </w:r>
            <w:r w:rsidR="00460264" w:rsidRPr="00CC2A36">
              <w:rPr>
                <w:rFonts w:asciiTheme="minorHAnsi" w:hAnsiTheme="minorHAnsi"/>
                <w:color w:val="000000" w:themeColor="text1"/>
                <w:sz w:val="20"/>
              </w:rPr>
              <w:t xml:space="preserve"> A </w:t>
            </w:r>
            <w:r w:rsidRPr="00CC2A36">
              <w:rPr>
                <w:rFonts w:asciiTheme="minorHAnsi" w:hAnsiTheme="minorHAnsi"/>
                <w:color w:val="000000" w:themeColor="text1"/>
                <w:sz w:val="20"/>
              </w:rPr>
              <w:t>proto podal příslušnou žalobu.</w:t>
            </w:r>
          </w:p>
          <w:p w14:paraId="5A8EAF12" w14:textId="77777777" w:rsidR="0048041D" w:rsidRPr="00CC2A36" w:rsidRDefault="0048041D" w:rsidP="0000203F">
            <w:pPr>
              <w:jc w:val="both"/>
              <w:rPr>
                <w:rFonts w:asciiTheme="minorHAnsi" w:hAnsiTheme="minorHAnsi" w:cstheme="minorHAnsi"/>
                <w:color w:val="000000" w:themeColor="text1"/>
                <w:sz w:val="20"/>
                <w:szCs w:val="20"/>
              </w:rPr>
            </w:pPr>
          </w:p>
          <w:p w14:paraId="2EDF1F9B" w14:textId="77777777" w:rsidR="0000203F" w:rsidRPr="00CC2A36" w:rsidRDefault="0000203F" w:rsidP="0000203F">
            <w:pPr>
              <w:jc w:val="both"/>
              <w:rPr>
                <w:rFonts w:asciiTheme="minorHAnsi" w:hAnsiTheme="minorHAnsi" w:cstheme="minorHAnsi"/>
                <w:color w:val="000000" w:themeColor="text1"/>
                <w:sz w:val="20"/>
                <w:szCs w:val="20"/>
              </w:rPr>
            </w:pPr>
            <w:r w:rsidRPr="00CC2A36">
              <w:rPr>
                <w:rFonts w:asciiTheme="minorHAnsi" w:hAnsiTheme="minorHAnsi"/>
                <w:color w:val="000000" w:themeColor="text1"/>
                <w:sz w:val="20"/>
              </w:rPr>
              <w:t>Soudní dvůr EU měl za to, že ze správného výkladu evropského předpisu nevyplývá povinnost, aby bylo na kupónu uvedeno jméno. Jedním</w:t>
            </w:r>
            <w:r w:rsidR="00460264" w:rsidRPr="00CC2A36">
              <w:rPr>
                <w:rFonts w:asciiTheme="minorHAnsi" w:hAnsiTheme="minorHAnsi"/>
                <w:color w:val="000000" w:themeColor="text1"/>
                <w:sz w:val="20"/>
              </w:rPr>
              <w:t xml:space="preserve"> z </w:t>
            </w:r>
            <w:r w:rsidRPr="00CC2A36">
              <w:rPr>
                <w:rFonts w:asciiTheme="minorHAnsi" w:hAnsiTheme="minorHAnsi"/>
                <w:color w:val="000000" w:themeColor="text1"/>
                <w:sz w:val="20"/>
              </w:rPr>
              <w:t>hlavních argumentů jeho rozhodnutí bylo to, že jsou lidská práva součástí obecných zásad unijního práva.</w:t>
            </w:r>
          </w:p>
          <w:p w14:paraId="40CC3D86" w14:textId="77777777" w:rsidR="0000203F" w:rsidRPr="00CC2A36" w:rsidRDefault="0000203F" w:rsidP="0000203F">
            <w:pPr>
              <w:jc w:val="both"/>
              <w:rPr>
                <w:rFonts w:asciiTheme="minorHAnsi" w:hAnsiTheme="minorHAnsi" w:cstheme="minorHAnsi"/>
                <w:color w:val="000000" w:themeColor="text1"/>
                <w:sz w:val="20"/>
                <w:szCs w:val="20"/>
              </w:rPr>
            </w:pPr>
          </w:p>
          <w:p w14:paraId="76610AB4" w14:textId="77777777" w:rsidR="0000203F" w:rsidRPr="00CC2A36" w:rsidRDefault="0000203F" w:rsidP="0000203F">
            <w:pPr>
              <w:pStyle w:val="Normlnweb"/>
              <w:spacing w:before="0" w:beforeAutospacing="0" w:after="0" w:afterAutospacing="0"/>
              <w:jc w:val="both"/>
              <w:rPr>
                <w:rFonts w:asciiTheme="minorHAnsi" w:hAnsiTheme="minorHAnsi" w:cstheme="minorHAnsi"/>
                <w:color w:val="000000" w:themeColor="text1"/>
                <w:sz w:val="20"/>
                <w:szCs w:val="20"/>
              </w:rPr>
            </w:pPr>
            <w:r w:rsidRPr="00CC2A36">
              <w:rPr>
                <w:rFonts w:asciiTheme="minorHAnsi" w:hAnsiTheme="minorHAnsi"/>
                <w:color w:val="000000" w:themeColor="text1"/>
                <w:sz w:val="20"/>
              </w:rPr>
              <w:t>„3. Pokud je určité rozhodnutí určeno všem členským státům, pak nutnost jednotného použití,</w:t>
            </w:r>
            <w:r w:rsidR="00460264" w:rsidRPr="00CC2A36">
              <w:rPr>
                <w:rFonts w:asciiTheme="minorHAnsi" w:hAnsiTheme="minorHAnsi"/>
                <w:color w:val="000000" w:themeColor="text1"/>
                <w:sz w:val="20"/>
              </w:rPr>
              <w:t xml:space="preserve"> a </w:t>
            </w:r>
            <w:r w:rsidRPr="00CC2A36">
              <w:rPr>
                <w:rFonts w:asciiTheme="minorHAnsi" w:hAnsiTheme="minorHAnsi"/>
                <w:color w:val="000000" w:themeColor="text1"/>
                <w:sz w:val="20"/>
              </w:rPr>
              <w:t>tudíž</w:t>
            </w:r>
            <w:r w:rsidR="00460264" w:rsidRPr="00CC2A36">
              <w:rPr>
                <w:rFonts w:asciiTheme="minorHAnsi" w:hAnsiTheme="minorHAnsi"/>
                <w:color w:val="000000" w:themeColor="text1"/>
                <w:sz w:val="20"/>
              </w:rPr>
              <w:t xml:space="preserve"> i </w:t>
            </w:r>
            <w:r w:rsidRPr="00CC2A36">
              <w:rPr>
                <w:rFonts w:asciiTheme="minorHAnsi" w:hAnsiTheme="minorHAnsi"/>
                <w:color w:val="000000" w:themeColor="text1"/>
                <w:sz w:val="20"/>
              </w:rPr>
              <w:t>jednotného výkladu znemožňuje posuzovat jednu verzi textu odděleně, nýbrž vyžaduje výklad jednak na základě skutečného úmyslu svého autora</w:t>
            </w:r>
            <w:r w:rsidR="00460264" w:rsidRPr="00CC2A36">
              <w:rPr>
                <w:rFonts w:asciiTheme="minorHAnsi" w:hAnsiTheme="minorHAnsi"/>
                <w:color w:val="000000" w:themeColor="text1"/>
                <w:sz w:val="20"/>
              </w:rPr>
              <w:t xml:space="preserve"> a </w:t>
            </w:r>
            <w:r w:rsidRPr="00CC2A36">
              <w:rPr>
                <w:rFonts w:asciiTheme="minorHAnsi" w:hAnsiTheme="minorHAnsi"/>
                <w:color w:val="000000" w:themeColor="text1"/>
                <w:sz w:val="20"/>
              </w:rPr>
              <w:t>jednak</w:t>
            </w:r>
            <w:r w:rsidR="00460264" w:rsidRPr="00CC2A36">
              <w:rPr>
                <w:rFonts w:asciiTheme="minorHAnsi" w:hAnsiTheme="minorHAnsi"/>
                <w:color w:val="000000" w:themeColor="text1"/>
                <w:sz w:val="20"/>
              </w:rPr>
              <w:t xml:space="preserve"> s </w:t>
            </w:r>
            <w:r w:rsidRPr="00CC2A36">
              <w:rPr>
                <w:rFonts w:asciiTheme="minorHAnsi" w:hAnsiTheme="minorHAnsi"/>
                <w:color w:val="000000" w:themeColor="text1"/>
                <w:sz w:val="20"/>
              </w:rPr>
              <w:t>ohledem na cíl, který sleduje,</w:t>
            </w:r>
            <w:r w:rsidR="00460264" w:rsidRPr="00CC2A36">
              <w:rPr>
                <w:rFonts w:asciiTheme="minorHAnsi" w:hAnsiTheme="minorHAnsi"/>
                <w:color w:val="000000" w:themeColor="text1"/>
                <w:sz w:val="20"/>
              </w:rPr>
              <w:t xml:space="preserve"> a </w:t>
            </w:r>
            <w:r w:rsidRPr="00CC2A36">
              <w:rPr>
                <w:rFonts w:asciiTheme="minorHAnsi" w:hAnsiTheme="minorHAnsi"/>
                <w:color w:val="000000" w:themeColor="text1"/>
                <w:sz w:val="20"/>
              </w:rPr>
              <w:t>to zejména ve světle všech [...] jazykových verzí. [...] 7. Při takovém způsobu výkladu nejsou základní lidská práva vyplývající</w:t>
            </w:r>
            <w:r w:rsidR="00460264" w:rsidRPr="00CC2A36">
              <w:rPr>
                <w:rFonts w:asciiTheme="minorHAnsi" w:hAnsiTheme="minorHAnsi"/>
                <w:color w:val="000000" w:themeColor="text1"/>
                <w:sz w:val="20"/>
              </w:rPr>
              <w:t xml:space="preserve"> z </w:t>
            </w:r>
            <w:r w:rsidRPr="00CC2A36">
              <w:rPr>
                <w:rFonts w:asciiTheme="minorHAnsi" w:hAnsiTheme="minorHAnsi"/>
                <w:color w:val="000000" w:themeColor="text1"/>
                <w:sz w:val="20"/>
              </w:rPr>
              <w:t>obecných zásad komunitárního práva</w:t>
            </w:r>
            <w:r w:rsidR="00460264" w:rsidRPr="00CC2A36">
              <w:rPr>
                <w:rFonts w:asciiTheme="minorHAnsi" w:hAnsiTheme="minorHAnsi"/>
                <w:color w:val="000000" w:themeColor="text1"/>
                <w:sz w:val="20"/>
              </w:rPr>
              <w:t xml:space="preserve"> a </w:t>
            </w:r>
            <w:r w:rsidRPr="00CC2A36">
              <w:rPr>
                <w:rFonts w:asciiTheme="minorHAnsi" w:hAnsiTheme="minorHAnsi"/>
                <w:color w:val="000000" w:themeColor="text1"/>
                <w:sz w:val="20"/>
              </w:rPr>
              <w:t>chráněná Soudem uvedeným ustanovením dotčena.“</w:t>
            </w:r>
          </w:p>
        </w:tc>
      </w:tr>
    </w:tbl>
    <w:p w14:paraId="729F7A12" w14:textId="77777777" w:rsidR="0000203F" w:rsidRPr="007D56D6" w:rsidRDefault="0000203F" w:rsidP="00EC2273">
      <w:pPr>
        <w:spacing w:line="276" w:lineRule="auto"/>
        <w:jc w:val="both"/>
        <w:rPr>
          <w:rFonts w:cstheme="minorHAnsi"/>
        </w:rPr>
      </w:pPr>
    </w:p>
    <w:p w14:paraId="6B1AE665" w14:textId="77777777" w:rsidR="00EC2273" w:rsidRPr="00674960" w:rsidRDefault="0000203F" w:rsidP="00EC2273">
      <w:pPr>
        <w:spacing w:line="276" w:lineRule="auto"/>
        <w:jc w:val="both"/>
        <w:rPr>
          <w:rFonts w:cstheme="minorHAnsi"/>
          <w:color w:val="384575"/>
        </w:rPr>
      </w:pPr>
      <w:r w:rsidRPr="00674960">
        <w:rPr>
          <w:color w:val="384575"/>
        </w:rPr>
        <w:t>SDEU vzal navíc</w:t>
      </w:r>
      <w:r w:rsidR="00460264" w:rsidRPr="00674960">
        <w:rPr>
          <w:color w:val="384575"/>
        </w:rPr>
        <w:t xml:space="preserve"> v </w:t>
      </w:r>
      <w:r w:rsidRPr="00674960">
        <w:rPr>
          <w:color w:val="384575"/>
        </w:rPr>
        <w:t>úvahu ústavní tradice společné členským státům, zohlednil rovněž ustanovení, která nabízejí mezinárodní nástroje týkající se ochrany lidských práv,</w:t>
      </w:r>
      <w:r w:rsidR="00460264" w:rsidRPr="00674960">
        <w:rPr>
          <w:color w:val="384575"/>
        </w:rPr>
        <w:t xml:space="preserve"> z </w:t>
      </w:r>
      <w:r w:rsidRPr="00674960">
        <w:rPr>
          <w:color w:val="384575"/>
        </w:rPr>
        <w:t>nichž</w:t>
      </w:r>
      <w:r w:rsidR="00460264" w:rsidRPr="00674960">
        <w:rPr>
          <w:color w:val="384575"/>
        </w:rPr>
        <w:t xml:space="preserve"> v </w:t>
      </w:r>
      <w:r w:rsidRPr="00674960">
        <w:rPr>
          <w:color w:val="384575"/>
        </w:rPr>
        <w:t>mnoha svých rozsudcích odkazuje zejména na Evropskou úmluvu</w:t>
      </w:r>
      <w:r w:rsidR="00460264" w:rsidRPr="00674960">
        <w:rPr>
          <w:color w:val="384575"/>
        </w:rPr>
        <w:t xml:space="preserve"> o </w:t>
      </w:r>
      <w:r w:rsidRPr="00674960">
        <w:rPr>
          <w:color w:val="384575"/>
        </w:rPr>
        <w:t>ochraně lidských práv</w:t>
      </w:r>
      <w:r w:rsidR="00460264" w:rsidRPr="00674960">
        <w:rPr>
          <w:color w:val="384575"/>
        </w:rPr>
        <w:t xml:space="preserve"> a </w:t>
      </w:r>
      <w:r w:rsidRPr="00674960">
        <w:rPr>
          <w:color w:val="384575"/>
        </w:rPr>
        <w:t xml:space="preserve">základních svobod ze dne 4. listopadu 1950. </w:t>
      </w:r>
    </w:p>
    <w:p w14:paraId="0205933A" w14:textId="77777777" w:rsidR="0000203F" w:rsidRPr="007D56D6" w:rsidRDefault="0000203F" w:rsidP="00EC2273">
      <w:pPr>
        <w:spacing w:line="276" w:lineRule="auto"/>
        <w:jc w:val="both"/>
        <w:rPr>
          <w:rFonts w:cstheme="minorHAnsi"/>
        </w:rPr>
      </w:pPr>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E2F3" w:themeFill="accent1" w:themeFillTint="33"/>
        <w:tblLook w:val="04A0" w:firstRow="1" w:lastRow="0" w:firstColumn="1" w:lastColumn="0" w:noHBand="0" w:noVBand="1"/>
      </w:tblPr>
      <w:tblGrid>
        <w:gridCol w:w="8613"/>
      </w:tblGrid>
      <w:tr w:rsidR="0000203F" w:rsidRPr="001E6D6E" w14:paraId="2ED939B2" w14:textId="77777777" w:rsidTr="0048041D">
        <w:tc>
          <w:tcPr>
            <w:tcW w:w="8613" w:type="dxa"/>
            <w:shd w:val="clear" w:color="auto" w:fill="D9E2F3" w:themeFill="accent1" w:themeFillTint="33"/>
          </w:tcPr>
          <w:p w14:paraId="2AEDC627" w14:textId="7892E491" w:rsidR="0000203F" w:rsidRPr="0064073C" w:rsidRDefault="0064073C" w:rsidP="0000203F">
            <w:pPr>
              <w:jc w:val="right"/>
              <w:rPr>
                <w:rFonts w:asciiTheme="minorHAnsi" w:hAnsiTheme="minorHAnsi" w:cstheme="minorHAnsi"/>
                <w:b/>
                <w:bCs/>
                <w:color w:val="000000" w:themeColor="text1"/>
                <w:sz w:val="20"/>
                <w:szCs w:val="20"/>
              </w:rPr>
            </w:pPr>
            <w:hyperlink r:id="rId13" w:history="1">
              <w:r w:rsidR="0000203F" w:rsidRPr="0064073C">
                <w:rPr>
                  <w:rStyle w:val="Hypertextovodkaz"/>
                  <w:rFonts w:asciiTheme="minorHAnsi" w:hAnsiTheme="minorHAnsi"/>
                  <w:b/>
                  <w:color w:val="000000" w:themeColor="text1"/>
                  <w:sz w:val="20"/>
                </w:rPr>
                <w:t xml:space="preserve">Rozsudek Soudního dvora ze dne 17. prosince 1970, </w:t>
              </w:r>
              <w:proofErr w:type="spellStart"/>
              <w:r w:rsidR="0000203F" w:rsidRPr="0064073C">
                <w:rPr>
                  <w:rStyle w:val="Hypertextovodkaz"/>
                  <w:rFonts w:asciiTheme="minorHAnsi" w:hAnsiTheme="minorHAnsi"/>
                  <w:b/>
                  <w:i/>
                  <w:iCs/>
                  <w:color w:val="000000" w:themeColor="text1"/>
                  <w:sz w:val="20"/>
                </w:rPr>
                <w:t>Internationale</w:t>
              </w:r>
              <w:proofErr w:type="spellEnd"/>
              <w:r w:rsidR="0000203F" w:rsidRPr="0064073C">
                <w:rPr>
                  <w:rStyle w:val="Hypertextovodkaz"/>
                  <w:rFonts w:asciiTheme="minorHAnsi" w:hAnsiTheme="minorHAnsi"/>
                  <w:b/>
                  <w:i/>
                  <w:iCs/>
                  <w:color w:val="000000" w:themeColor="text1"/>
                  <w:sz w:val="20"/>
                </w:rPr>
                <w:t xml:space="preserve"> </w:t>
              </w:r>
              <w:proofErr w:type="spellStart"/>
              <w:r w:rsidR="0000203F" w:rsidRPr="0064073C">
                <w:rPr>
                  <w:rStyle w:val="Hypertextovodkaz"/>
                  <w:rFonts w:asciiTheme="minorHAnsi" w:hAnsiTheme="minorHAnsi"/>
                  <w:b/>
                  <w:i/>
                  <w:iCs/>
                  <w:color w:val="000000" w:themeColor="text1"/>
                  <w:sz w:val="20"/>
                </w:rPr>
                <w:t>Handelsgesellschaft</w:t>
              </w:r>
              <w:proofErr w:type="spellEnd"/>
              <w:r w:rsidR="0000203F" w:rsidRPr="0064073C">
                <w:rPr>
                  <w:rStyle w:val="Hypertextovodkaz"/>
                  <w:rFonts w:asciiTheme="minorHAnsi" w:hAnsiTheme="minorHAnsi"/>
                  <w:b/>
                  <w:i/>
                  <w:iCs/>
                  <w:color w:val="000000" w:themeColor="text1"/>
                  <w:sz w:val="20"/>
                </w:rPr>
                <w:t xml:space="preserve"> </w:t>
              </w:r>
              <w:proofErr w:type="spellStart"/>
              <w:r w:rsidR="0000203F" w:rsidRPr="0064073C">
                <w:rPr>
                  <w:rStyle w:val="Hypertextovodkaz"/>
                  <w:rFonts w:asciiTheme="minorHAnsi" w:hAnsiTheme="minorHAnsi"/>
                  <w:b/>
                  <w:i/>
                  <w:iCs/>
                  <w:color w:val="000000" w:themeColor="text1"/>
                  <w:sz w:val="20"/>
                </w:rPr>
                <w:t>mbH</w:t>
              </w:r>
              <w:proofErr w:type="spellEnd"/>
              <w:r w:rsidR="0000203F" w:rsidRPr="0064073C">
                <w:rPr>
                  <w:rStyle w:val="Hypertextovodkaz"/>
                  <w:rFonts w:asciiTheme="minorHAnsi" w:hAnsiTheme="minorHAnsi"/>
                  <w:b/>
                  <w:i/>
                  <w:iCs/>
                  <w:color w:val="000000" w:themeColor="text1"/>
                  <w:sz w:val="20"/>
                </w:rPr>
                <w:t xml:space="preserve"> v. </w:t>
              </w:r>
              <w:proofErr w:type="spellStart"/>
              <w:proofErr w:type="gramStart"/>
              <w:r w:rsidR="0000203F" w:rsidRPr="0064073C">
                <w:rPr>
                  <w:rStyle w:val="Hypertextovodkaz"/>
                  <w:rFonts w:asciiTheme="minorHAnsi" w:hAnsiTheme="minorHAnsi"/>
                  <w:b/>
                  <w:i/>
                  <w:iCs/>
                  <w:color w:val="000000" w:themeColor="text1"/>
                  <w:sz w:val="20"/>
                </w:rPr>
                <w:t>Einfuhr</w:t>
              </w:r>
              <w:proofErr w:type="spellEnd"/>
              <w:r w:rsidR="0000203F" w:rsidRPr="0064073C">
                <w:rPr>
                  <w:rStyle w:val="Hypertextovodkaz"/>
                  <w:rFonts w:asciiTheme="minorHAnsi" w:hAnsiTheme="minorHAnsi"/>
                  <w:b/>
                  <w:i/>
                  <w:iCs/>
                  <w:color w:val="000000" w:themeColor="text1"/>
                  <w:sz w:val="20"/>
                </w:rPr>
                <w:t xml:space="preserve">- </w:t>
              </w:r>
              <w:proofErr w:type="spellStart"/>
              <w:r w:rsidR="0000203F" w:rsidRPr="0064073C">
                <w:rPr>
                  <w:rStyle w:val="Hypertextovodkaz"/>
                  <w:rFonts w:asciiTheme="minorHAnsi" w:hAnsiTheme="minorHAnsi"/>
                  <w:b/>
                  <w:i/>
                  <w:iCs/>
                  <w:color w:val="000000" w:themeColor="text1"/>
                  <w:sz w:val="20"/>
                </w:rPr>
                <w:t>und</w:t>
              </w:r>
              <w:proofErr w:type="spellEnd"/>
              <w:proofErr w:type="gramEnd"/>
              <w:r w:rsidR="0000203F" w:rsidRPr="0064073C">
                <w:rPr>
                  <w:rStyle w:val="Hypertextovodkaz"/>
                  <w:rFonts w:asciiTheme="minorHAnsi" w:hAnsiTheme="minorHAnsi"/>
                  <w:b/>
                  <w:i/>
                  <w:iCs/>
                  <w:color w:val="000000" w:themeColor="text1"/>
                  <w:sz w:val="20"/>
                </w:rPr>
                <w:t xml:space="preserve"> </w:t>
              </w:r>
              <w:proofErr w:type="spellStart"/>
              <w:r w:rsidR="0000203F" w:rsidRPr="0064073C">
                <w:rPr>
                  <w:rStyle w:val="Hypertextovodkaz"/>
                  <w:rFonts w:asciiTheme="minorHAnsi" w:hAnsiTheme="minorHAnsi"/>
                  <w:b/>
                  <w:i/>
                  <w:iCs/>
                  <w:color w:val="000000" w:themeColor="text1"/>
                  <w:sz w:val="20"/>
                </w:rPr>
                <w:t>Vorratsstelle</w:t>
              </w:r>
              <w:proofErr w:type="spellEnd"/>
              <w:r w:rsidR="0000203F" w:rsidRPr="0064073C">
                <w:rPr>
                  <w:rStyle w:val="Hypertextovodkaz"/>
                  <w:rFonts w:asciiTheme="minorHAnsi" w:hAnsiTheme="minorHAnsi"/>
                  <w:b/>
                  <w:i/>
                  <w:iCs/>
                  <w:color w:val="000000" w:themeColor="text1"/>
                  <w:sz w:val="20"/>
                </w:rPr>
                <w:t xml:space="preserve"> </w:t>
              </w:r>
              <w:proofErr w:type="spellStart"/>
              <w:r w:rsidR="0000203F" w:rsidRPr="0064073C">
                <w:rPr>
                  <w:rStyle w:val="Hypertextovodkaz"/>
                  <w:rFonts w:asciiTheme="minorHAnsi" w:hAnsiTheme="minorHAnsi"/>
                  <w:b/>
                  <w:i/>
                  <w:iCs/>
                  <w:color w:val="000000" w:themeColor="text1"/>
                  <w:sz w:val="20"/>
                </w:rPr>
                <w:t>für</w:t>
              </w:r>
              <w:proofErr w:type="spellEnd"/>
              <w:r w:rsidR="0000203F" w:rsidRPr="0064073C">
                <w:rPr>
                  <w:rStyle w:val="Hypertextovodkaz"/>
                  <w:rFonts w:asciiTheme="minorHAnsi" w:hAnsiTheme="minorHAnsi"/>
                  <w:b/>
                  <w:i/>
                  <w:iCs/>
                  <w:color w:val="000000" w:themeColor="text1"/>
                  <w:sz w:val="20"/>
                </w:rPr>
                <w:t xml:space="preserve"> </w:t>
              </w:r>
              <w:proofErr w:type="spellStart"/>
              <w:r w:rsidR="0000203F" w:rsidRPr="0064073C">
                <w:rPr>
                  <w:rStyle w:val="Hypertextovodkaz"/>
                  <w:rFonts w:asciiTheme="minorHAnsi" w:hAnsiTheme="minorHAnsi"/>
                  <w:b/>
                  <w:i/>
                  <w:iCs/>
                  <w:color w:val="000000" w:themeColor="text1"/>
                  <w:sz w:val="20"/>
                </w:rPr>
                <w:t>Getreide</w:t>
              </w:r>
              <w:proofErr w:type="spellEnd"/>
              <w:r w:rsidR="0000203F" w:rsidRPr="0064073C">
                <w:rPr>
                  <w:rStyle w:val="Hypertextovodkaz"/>
                  <w:rFonts w:asciiTheme="minorHAnsi" w:hAnsiTheme="minorHAnsi"/>
                  <w:b/>
                  <w:i/>
                  <w:iCs/>
                  <w:color w:val="000000" w:themeColor="text1"/>
                  <w:sz w:val="20"/>
                </w:rPr>
                <w:t xml:space="preserve"> </w:t>
              </w:r>
              <w:proofErr w:type="spellStart"/>
              <w:r w:rsidR="0000203F" w:rsidRPr="0064073C">
                <w:rPr>
                  <w:rStyle w:val="Hypertextovodkaz"/>
                  <w:rFonts w:asciiTheme="minorHAnsi" w:hAnsiTheme="minorHAnsi"/>
                  <w:b/>
                  <w:i/>
                  <w:iCs/>
                  <w:color w:val="000000" w:themeColor="text1"/>
                  <w:sz w:val="20"/>
                </w:rPr>
                <w:t>und</w:t>
              </w:r>
              <w:proofErr w:type="spellEnd"/>
              <w:r w:rsidR="0000203F" w:rsidRPr="0064073C">
                <w:rPr>
                  <w:rStyle w:val="Hypertextovodkaz"/>
                  <w:rFonts w:asciiTheme="minorHAnsi" w:hAnsiTheme="minorHAnsi"/>
                  <w:b/>
                  <w:i/>
                  <w:iCs/>
                  <w:color w:val="000000" w:themeColor="text1"/>
                  <w:sz w:val="20"/>
                </w:rPr>
                <w:t xml:space="preserve"> </w:t>
              </w:r>
              <w:proofErr w:type="spellStart"/>
              <w:r w:rsidR="0000203F" w:rsidRPr="0064073C">
                <w:rPr>
                  <w:rStyle w:val="Hypertextovodkaz"/>
                  <w:rFonts w:asciiTheme="minorHAnsi" w:hAnsiTheme="minorHAnsi"/>
                  <w:b/>
                  <w:i/>
                  <w:iCs/>
                  <w:color w:val="000000" w:themeColor="text1"/>
                  <w:sz w:val="20"/>
                </w:rPr>
                <w:t>Futtermittel</w:t>
              </w:r>
              <w:proofErr w:type="spellEnd"/>
              <w:r w:rsidR="0000203F" w:rsidRPr="0064073C">
                <w:rPr>
                  <w:rStyle w:val="Hypertextovodkaz"/>
                  <w:rFonts w:asciiTheme="minorHAnsi" w:hAnsiTheme="minorHAnsi"/>
                  <w:b/>
                  <w:color w:val="000000" w:themeColor="text1"/>
                  <w:sz w:val="20"/>
                </w:rPr>
                <w:t>, C-11/70, ECLI:EU:C:1970:114</w:t>
              </w:r>
            </w:hyperlink>
          </w:p>
          <w:p w14:paraId="7ED794D7" w14:textId="77777777" w:rsidR="0000203F" w:rsidRPr="0064073C" w:rsidRDefault="0000203F" w:rsidP="0000203F">
            <w:pPr>
              <w:rPr>
                <w:rFonts w:asciiTheme="minorHAnsi" w:hAnsiTheme="minorHAnsi" w:cstheme="minorHAnsi"/>
                <w:color w:val="000000" w:themeColor="text1"/>
                <w:lang w:val="en-US"/>
              </w:rPr>
            </w:pPr>
          </w:p>
          <w:p w14:paraId="2F7608AC" w14:textId="77777777" w:rsidR="0000203F" w:rsidRPr="000E1801" w:rsidRDefault="0000203F" w:rsidP="0000203F">
            <w:pPr>
              <w:jc w:val="both"/>
              <w:rPr>
                <w:rFonts w:asciiTheme="minorHAnsi" w:hAnsiTheme="minorHAnsi" w:cstheme="minorHAnsi"/>
                <w:sz w:val="20"/>
                <w:szCs w:val="20"/>
              </w:rPr>
            </w:pPr>
            <w:r>
              <w:rPr>
                <w:rFonts w:asciiTheme="minorHAnsi" w:hAnsiTheme="minorHAnsi"/>
                <w:sz w:val="20"/>
              </w:rPr>
              <w:t xml:space="preserve">V této věci, známé také jako </w:t>
            </w:r>
            <w:proofErr w:type="spellStart"/>
            <w:r w:rsidRPr="009A148F">
              <w:rPr>
                <w:rFonts w:asciiTheme="minorHAnsi" w:hAnsiTheme="minorHAnsi"/>
                <w:i/>
                <w:sz w:val="20"/>
              </w:rPr>
              <w:t>Solange</w:t>
            </w:r>
            <w:proofErr w:type="spellEnd"/>
            <w:r w:rsidRPr="009A148F">
              <w:rPr>
                <w:rFonts w:asciiTheme="minorHAnsi" w:hAnsiTheme="minorHAnsi"/>
                <w:i/>
                <w:sz w:val="20"/>
              </w:rPr>
              <w:t xml:space="preserve"> I</w:t>
            </w:r>
            <w:r>
              <w:rPr>
                <w:rFonts w:asciiTheme="minorHAnsi" w:hAnsiTheme="minorHAnsi"/>
                <w:sz w:val="20"/>
              </w:rPr>
              <w:t>, byla vznesena otázka rozporu mezi vnitrostátním</w:t>
            </w:r>
            <w:r w:rsidR="00460264">
              <w:rPr>
                <w:rFonts w:asciiTheme="minorHAnsi" w:hAnsiTheme="minorHAnsi"/>
                <w:sz w:val="20"/>
              </w:rPr>
              <w:t xml:space="preserve"> a </w:t>
            </w:r>
            <w:r>
              <w:rPr>
                <w:rFonts w:asciiTheme="minorHAnsi" w:hAnsiTheme="minorHAnsi"/>
                <w:sz w:val="20"/>
              </w:rPr>
              <w:t xml:space="preserve">unijním právem. Společná zemědělská politika stanovila jako podmínku pro získání vývozních licencí složení peněžní částky. Pokud by vývoz nebyl uskutečněn během doby platnosti licence, tato peněžní částka by propadla. Společnost </w:t>
            </w:r>
            <w:proofErr w:type="spellStart"/>
            <w:r>
              <w:rPr>
                <w:rFonts w:asciiTheme="minorHAnsi" w:hAnsiTheme="minorHAnsi"/>
                <w:sz w:val="20"/>
              </w:rPr>
              <w:t>Internationale</w:t>
            </w:r>
            <w:proofErr w:type="spellEnd"/>
            <w:r>
              <w:rPr>
                <w:rFonts w:asciiTheme="minorHAnsi" w:hAnsiTheme="minorHAnsi"/>
                <w:sz w:val="20"/>
              </w:rPr>
              <w:t xml:space="preserve"> </w:t>
            </w:r>
            <w:proofErr w:type="spellStart"/>
            <w:r>
              <w:rPr>
                <w:rFonts w:asciiTheme="minorHAnsi" w:hAnsiTheme="minorHAnsi"/>
                <w:sz w:val="20"/>
              </w:rPr>
              <w:t>Handelsgesellschaft</w:t>
            </w:r>
            <w:proofErr w:type="spellEnd"/>
            <w:r>
              <w:rPr>
                <w:rFonts w:asciiTheme="minorHAnsi" w:hAnsiTheme="minorHAnsi"/>
                <w:sz w:val="20"/>
              </w:rPr>
              <w:t xml:space="preserve"> </w:t>
            </w:r>
            <w:proofErr w:type="spellStart"/>
            <w:r>
              <w:rPr>
                <w:rFonts w:asciiTheme="minorHAnsi" w:hAnsiTheme="minorHAnsi"/>
                <w:sz w:val="20"/>
              </w:rPr>
              <w:t>mbH</w:t>
            </w:r>
            <w:proofErr w:type="spellEnd"/>
            <w:r>
              <w:rPr>
                <w:rFonts w:asciiTheme="minorHAnsi" w:hAnsiTheme="minorHAnsi"/>
                <w:sz w:val="20"/>
              </w:rPr>
              <w:t xml:space="preserve"> tvrdila, že tento systém udělování licencí porušuje její právo podnikat zakotvené</w:t>
            </w:r>
            <w:r w:rsidR="00460264">
              <w:rPr>
                <w:rFonts w:asciiTheme="minorHAnsi" w:hAnsiTheme="minorHAnsi"/>
                <w:sz w:val="20"/>
              </w:rPr>
              <w:t xml:space="preserve"> v </w:t>
            </w:r>
            <w:r>
              <w:rPr>
                <w:rFonts w:asciiTheme="minorHAnsi" w:hAnsiTheme="minorHAnsi"/>
                <w:sz w:val="20"/>
              </w:rPr>
              <w:t>německé ústavě. Německý správní soud předložil SDEU předběžnou otázku.</w:t>
            </w:r>
          </w:p>
          <w:p w14:paraId="5E377F08" w14:textId="77777777" w:rsidR="0000203F" w:rsidRPr="007D56D6" w:rsidRDefault="0000203F" w:rsidP="0000203F">
            <w:pPr>
              <w:jc w:val="both"/>
              <w:rPr>
                <w:rFonts w:asciiTheme="minorHAnsi" w:hAnsiTheme="minorHAnsi" w:cstheme="minorHAnsi"/>
                <w:sz w:val="20"/>
                <w:szCs w:val="20"/>
              </w:rPr>
            </w:pPr>
          </w:p>
          <w:p w14:paraId="121139DD" w14:textId="77777777" w:rsidR="0000203F" w:rsidRPr="000E1801" w:rsidRDefault="0000203F" w:rsidP="0000203F">
            <w:pPr>
              <w:jc w:val="both"/>
              <w:rPr>
                <w:rFonts w:asciiTheme="minorHAnsi" w:hAnsiTheme="minorHAnsi" w:cstheme="minorHAnsi"/>
                <w:sz w:val="20"/>
                <w:szCs w:val="20"/>
              </w:rPr>
            </w:pPr>
            <w:r>
              <w:rPr>
                <w:rFonts w:asciiTheme="minorHAnsi" w:hAnsiTheme="minorHAnsi"/>
                <w:sz w:val="20"/>
              </w:rPr>
              <w:lastRenderedPageBreak/>
              <w:t>Přestože</w:t>
            </w:r>
            <w:r w:rsidR="00460264">
              <w:rPr>
                <w:rFonts w:asciiTheme="minorHAnsi" w:hAnsiTheme="minorHAnsi"/>
                <w:sz w:val="20"/>
              </w:rPr>
              <w:t xml:space="preserve"> v </w:t>
            </w:r>
            <w:r>
              <w:rPr>
                <w:rFonts w:asciiTheme="minorHAnsi" w:hAnsiTheme="minorHAnsi"/>
                <w:sz w:val="20"/>
              </w:rPr>
              <w:t>konkrétním případě neshledal žádné porušení práv, SDEU uvedl, že vnitrostátní právo (i</w:t>
            </w:r>
            <w:r w:rsidR="00460264">
              <w:rPr>
                <w:rFonts w:asciiTheme="minorHAnsi" w:hAnsiTheme="minorHAnsi"/>
                <w:sz w:val="20"/>
              </w:rPr>
              <w:t xml:space="preserve"> v </w:t>
            </w:r>
            <w:r>
              <w:rPr>
                <w:rFonts w:asciiTheme="minorHAnsi" w:hAnsiTheme="minorHAnsi"/>
                <w:sz w:val="20"/>
              </w:rPr>
              <w:t xml:space="preserve">rovině ústavního práva) nemůže být kontrolním parametrem unijního práva: </w:t>
            </w:r>
          </w:p>
          <w:p w14:paraId="39E5929A" w14:textId="77777777" w:rsidR="0000203F" w:rsidRPr="007D56D6" w:rsidRDefault="0000203F" w:rsidP="0000203F">
            <w:pPr>
              <w:jc w:val="both"/>
              <w:rPr>
                <w:rFonts w:asciiTheme="minorHAnsi" w:hAnsiTheme="minorHAnsi" w:cstheme="minorHAnsi"/>
                <w:sz w:val="20"/>
                <w:szCs w:val="20"/>
              </w:rPr>
            </w:pPr>
          </w:p>
          <w:p w14:paraId="3735E414" w14:textId="77777777" w:rsidR="0000203F" w:rsidRPr="000E1801" w:rsidRDefault="0000203F" w:rsidP="0000203F">
            <w:pPr>
              <w:jc w:val="both"/>
              <w:rPr>
                <w:rFonts w:asciiTheme="minorHAnsi" w:hAnsiTheme="minorHAnsi" w:cstheme="minorHAnsi"/>
                <w:sz w:val="20"/>
                <w:szCs w:val="20"/>
              </w:rPr>
            </w:pPr>
            <w:r>
              <w:rPr>
                <w:rFonts w:asciiTheme="minorHAnsi" w:hAnsiTheme="minorHAnsi"/>
                <w:sz w:val="20"/>
              </w:rPr>
              <w:t>„3. Odvolání se na právní normy nebo pojmy vnitrostátního práva za účelem posouzení platnosti opatření přijatých orgány Společenství by mělo nepříznivý dopad na jednotnost</w:t>
            </w:r>
            <w:r w:rsidR="00460264">
              <w:rPr>
                <w:rFonts w:asciiTheme="minorHAnsi" w:hAnsiTheme="minorHAnsi"/>
                <w:sz w:val="20"/>
              </w:rPr>
              <w:t xml:space="preserve"> a </w:t>
            </w:r>
            <w:r>
              <w:rPr>
                <w:rFonts w:asciiTheme="minorHAnsi" w:hAnsiTheme="minorHAnsi"/>
                <w:sz w:val="20"/>
              </w:rPr>
              <w:t>účinnost komunitárního práva. Platnost takových opatření lze posuzovat pouze</w:t>
            </w:r>
            <w:r w:rsidR="00460264">
              <w:rPr>
                <w:rFonts w:asciiTheme="minorHAnsi" w:hAnsiTheme="minorHAnsi"/>
                <w:sz w:val="20"/>
              </w:rPr>
              <w:t xml:space="preserve"> s </w:t>
            </w:r>
            <w:r>
              <w:rPr>
                <w:rFonts w:asciiTheme="minorHAnsi" w:hAnsiTheme="minorHAnsi"/>
                <w:sz w:val="20"/>
              </w:rPr>
              <w:t>ohledem na komunitární právo. Právo vytvořené Smlouvou, tedy autonomním pramenem práva, by nemělo být vzhledem ke své zvláštní povaze převáženo vnitrostátními právními předpisy jakéhokoli charakteru, pokud nemá ztratit svůj charakter komunitárního práva</w:t>
            </w:r>
            <w:r w:rsidR="00460264">
              <w:rPr>
                <w:rFonts w:asciiTheme="minorHAnsi" w:hAnsiTheme="minorHAnsi"/>
                <w:sz w:val="20"/>
              </w:rPr>
              <w:t xml:space="preserve"> a </w:t>
            </w:r>
            <w:r>
              <w:rPr>
                <w:rFonts w:asciiTheme="minorHAnsi" w:hAnsiTheme="minorHAnsi"/>
                <w:sz w:val="20"/>
              </w:rPr>
              <w:t xml:space="preserve">pokud nemá být zpochybněn právní základ Společenství samotného. […]”. </w:t>
            </w:r>
          </w:p>
          <w:p w14:paraId="297BADB5" w14:textId="77777777" w:rsidR="0000203F" w:rsidRPr="007D56D6" w:rsidRDefault="0000203F" w:rsidP="0000203F">
            <w:pPr>
              <w:jc w:val="both"/>
              <w:rPr>
                <w:rFonts w:asciiTheme="minorHAnsi" w:hAnsiTheme="minorHAnsi" w:cstheme="minorHAnsi"/>
                <w:sz w:val="20"/>
                <w:szCs w:val="20"/>
              </w:rPr>
            </w:pPr>
          </w:p>
          <w:p w14:paraId="08C3B573" w14:textId="77777777" w:rsidR="0000203F" w:rsidRPr="000E1801" w:rsidRDefault="0000203F" w:rsidP="0000203F">
            <w:pPr>
              <w:jc w:val="both"/>
              <w:rPr>
                <w:rFonts w:asciiTheme="minorHAnsi" w:hAnsiTheme="minorHAnsi" w:cstheme="minorHAnsi"/>
                <w:sz w:val="20"/>
                <w:szCs w:val="20"/>
              </w:rPr>
            </w:pPr>
            <w:r>
              <w:rPr>
                <w:rFonts w:asciiTheme="minorHAnsi" w:hAnsiTheme="minorHAnsi"/>
                <w:sz w:val="20"/>
              </w:rPr>
              <w:t>Tyto ústavní texty však mohou přispět</w:t>
            </w:r>
            <w:r w:rsidR="00460264">
              <w:rPr>
                <w:rFonts w:asciiTheme="minorHAnsi" w:hAnsiTheme="minorHAnsi"/>
                <w:sz w:val="20"/>
              </w:rPr>
              <w:t xml:space="preserve"> k </w:t>
            </w:r>
            <w:r>
              <w:rPr>
                <w:rFonts w:asciiTheme="minorHAnsi" w:hAnsiTheme="minorHAnsi"/>
                <w:sz w:val="20"/>
              </w:rPr>
              <w:t xml:space="preserve">rozšíření obecných právních zásad: </w:t>
            </w:r>
          </w:p>
          <w:p w14:paraId="5714B533" w14:textId="77777777" w:rsidR="0000203F" w:rsidRPr="007D56D6" w:rsidRDefault="0000203F" w:rsidP="0000203F">
            <w:pPr>
              <w:jc w:val="both"/>
              <w:rPr>
                <w:rFonts w:asciiTheme="minorHAnsi" w:hAnsiTheme="minorHAnsi" w:cstheme="minorHAnsi"/>
                <w:sz w:val="20"/>
                <w:szCs w:val="20"/>
              </w:rPr>
            </w:pPr>
          </w:p>
          <w:p w14:paraId="507836C0" w14:textId="77777777" w:rsidR="0000203F" w:rsidRPr="000E1801" w:rsidRDefault="0000203F" w:rsidP="001E6D6E">
            <w:pPr>
              <w:jc w:val="both"/>
              <w:rPr>
                <w:rFonts w:asciiTheme="minorHAnsi" w:hAnsiTheme="minorHAnsi" w:cstheme="minorHAnsi"/>
                <w:sz w:val="20"/>
                <w:szCs w:val="20"/>
              </w:rPr>
            </w:pPr>
            <w:r>
              <w:rPr>
                <w:rFonts w:asciiTheme="minorHAnsi" w:hAnsiTheme="minorHAnsi"/>
                <w:sz w:val="20"/>
              </w:rPr>
              <w:t>„4. Je však třeba přezkoumat, zda nebyla opomenuta nějaká analogická záruka vlastní komunitárnímu právu. Dodržování základních práv totiž tvoří nedílnou součást obecných právních zásad chráněných Soudním dvorem. Ochrana těchto práv, ačkoli vychází</w:t>
            </w:r>
            <w:r w:rsidR="00460264">
              <w:rPr>
                <w:rFonts w:asciiTheme="minorHAnsi" w:hAnsiTheme="minorHAnsi"/>
                <w:sz w:val="20"/>
              </w:rPr>
              <w:t xml:space="preserve"> z </w:t>
            </w:r>
            <w:r>
              <w:rPr>
                <w:rFonts w:asciiTheme="minorHAnsi" w:hAnsiTheme="minorHAnsi"/>
                <w:sz w:val="20"/>
              </w:rPr>
              <w:t>ústavních tradic společných členským státům, musí být zajištěna</w:t>
            </w:r>
            <w:r w:rsidR="00460264">
              <w:rPr>
                <w:rFonts w:asciiTheme="minorHAnsi" w:hAnsiTheme="minorHAnsi"/>
                <w:sz w:val="20"/>
              </w:rPr>
              <w:t xml:space="preserve"> v </w:t>
            </w:r>
            <w:r>
              <w:rPr>
                <w:rFonts w:asciiTheme="minorHAnsi" w:hAnsiTheme="minorHAnsi"/>
                <w:sz w:val="20"/>
              </w:rPr>
              <w:t>rámci struktury</w:t>
            </w:r>
            <w:r w:rsidR="00460264">
              <w:rPr>
                <w:rFonts w:asciiTheme="minorHAnsi" w:hAnsiTheme="minorHAnsi"/>
                <w:sz w:val="20"/>
              </w:rPr>
              <w:t xml:space="preserve"> a </w:t>
            </w:r>
            <w:r>
              <w:rPr>
                <w:rFonts w:asciiTheme="minorHAnsi" w:hAnsiTheme="minorHAnsi"/>
                <w:sz w:val="20"/>
              </w:rPr>
              <w:t>cílů Společenství. Je tedy třeba ověřit, zda systém vyžadující složení peněžité částky neporušil práva základní povahy, jejichž dodržování musí být zajištěno</w:t>
            </w:r>
            <w:r w:rsidR="00460264">
              <w:rPr>
                <w:rFonts w:asciiTheme="minorHAnsi" w:hAnsiTheme="minorHAnsi"/>
                <w:sz w:val="20"/>
              </w:rPr>
              <w:t xml:space="preserve"> v </w:t>
            </w:r>
            <w:r>
              <w:rPr>
                <w:rFonts w:asciiTheme="minorHAnsi" w:hAnsiTheme="minorHAnsi"/>
                <w:sz w:val="20"/>
              </w:rPr>
              <w:t>právním systému Společenství,</w:t>
            </w:r>
            <w:r w:rsidR="00460264">
              <w:rPr>
                <w:rFonts w:asciiTheme="minorHAnsi" w:hAnsiTheme="minorHAnsi"/>
                <w:sz w:val="20"/>
              </w:rPr>
              <w:t xml:space="preserve"> a </w:t>
            </w:r>
            <w:r>
              <w:rPr>
                <w:rFonts w:asciiTheme="minorHAnsi" w:hAnsiTheme="minorHAnsi"/>
                <w:sz w:val="20"/>
              </w:rPr>
              <w:t>to</w:t>
            </w:r>
            <w:r w:rsidR="00460264">
              <w:rPr>
                <w:rFonts w:asciiTheme="minorHAnsi" w:hAnsiTheme="minorHAnsi"/>
                <w:sz w:val="20"/>
              </w:rPr>
              <w:t xml:space="preserve"> s </w:t>
            </w:r>
            <w:r>
              <w:rPr>
                <w:rFonts w:asciiTheme="minorHAnsi" w:hAnsiTheme="minorHAnsi"/>
                <w:sz w:val="20"/>
              </w:rPr>
              <w:t xml:space="preserve">ohledem na pochybnosti vyjádřené </w:t>
            </w:r>
            <w:proofErr w:type="spellStart"/>
            <w:r>
              <w:rPr>
                <w:rFonts w:asciiTheme="minorHAnsi" w:hAnsiTheme="minorHAnsi"/>
                <w:sz w:val="20"/>
              </w:rPr>
              <w:t>Verwaltungsgericht</w:t>
            </w:r>
            <w:proofErr w:type="spellEnd"/>
            <w:r>
              <w:rPr>
                <w:rFonts w:asciiTheme="minorHAnsi" w:hAnsiTheme="minorHAnsi"/>
                <w:sz w:val="20"/>
              </w:rPr>
              <w:t xml:space="preserve"> (správním soudem).“</w:t>
            </w:r>
          </w:p>
        </w:tc>
      </w:tr>
    </w:tbl>
    <w:p w14:paraId="5E872240" w14:textId="77777777" w:rsidR="0000203F" w:rsidRPr="007D56D6" w:rsidRDefault="0000203F" w:rsidP="0000203F"/>
    <w:p w14:paraId="0139E11F" w14:textId="77777777" w:rsidR="00AC1D1B" w:rsidRPr="00674960" w:rsidRDefault="00000000" w:rsidP="009F7D3D">
      <w:pPr>
        <w:spacing w:after="120" w:line="276" w:lineRule="auto"/>
        <w:jc w:val="both"/>
        <w:rPr>
          <w:rFonts w:cstheme="minorHAnsi"/>
          <w:color w:val="384575"/>
        </w:rPr>
      </w:pPr>
      <w:r w:rsidRPr="00674960">
        <w:rPr>
          <w:color w:val="384575"/>
        </w:rPr>
        <w:pict w14:anchorId="7A1B8355">
          <v:rect id="Forma automàtica 14" o:spid="_x0000_s1026" style="position:absolute;left:0;text-align:left;margin-left:490.2pt;margin-top:34.6pt;width:147pt;height:145.55pt;z-index:251654144;visibility:visible;mso-wrap-distance-left:36pt;mso-wrap-distance-right:9.35pt;mso-position-horizontal:right;mso-position-horizontal-relative:margin;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LKTMwIAAIcEAAAOAAAAZHJzL2Uyb0RvYy54bWysVNtu2zAMfR+wfxD0vtrOmjQx4hRFig4D&#10;ugvW7QNkWY69yaJGKbGzry+lOG6wAXsY9iKQls7h5ZBe3w6dZgeFrgVT8Owq5UwZCVVrdgX/9vXh&#10;zZIz54WphAajCn5Ujt9uXr9a9zZXM2hAVwoZkRiX97bgjfc2TxInG9UJdwVWGbqsATvhycVdUqHo&#10;ib3TySxNF0kPWFkEqZyjr/enS76J/HWtpP9U1055pgtOufl4YjzLcCabtch3KGzTyjEN8Q9ZdKI1&#10;FHSiuhdesD22f1B1rURwUPsrCV0Cdd1KFWugarL0t2qeGmFVrIWa4+zUJvf/aOXHw5P9jCF1Zx9B&#10;/nDMwLYRZqfuEKFvlKgoXBYalfTW5RMgOI6grOw/QEXSir2H2IOhxi4QUnVsiK0+Tq1Wg2eSPmbL&#10;xWKVkiKS7mazm9ViHsVIRH6GW3T+nYKOBaPgSFpGenF4dD6kI/LzkxDNwEOrddRTG9ZTiPnyZh4R&#10;0xVBtBkLCbmHMaEq/FGrQKHNF1WztopJx5ZI3JVbjew0MTTSlPF5biIZAcLDmkJP2CxN38a4cYpV&#10;wB8EzZ/2pzZOzwNSxSGdsOkI/HvcCRRjg/ETvhPfASexxspCkX4oB2pOMEuojqQbwmkbaHvJaAB/&#10;cdbTJhTc/dwLVJzp94a0X2XX12F1Lh28dMpLRxhJVAX3nJ3MrT81b2+x3TUUKRs1uaN5qduo5EtW&#10;ozg07VHgcTPDOl368dXL/2PzDAAA//8DAFBLAwQUAAYACAAAACEA1UfkY+EAAAAMAQAADwAAAGRy&#10;cy9kb3ducmV2LnhtbEyPQU/DMAyF70j8h8hI3Fi6aprWru6EQFzQDlAGXNMmtB2JUzXpVv495sQu&#10;luyn9/y+Yjc7K05mDL0nhOUiAWGo8bqnFuHw9nS3ARGiIq2sJ4PwYwLsyuurQuXan+nVnKrYCg6h&#10;kCuELsYhlzI0nXEqLPxgiLUvPzoVeR1bqUd15nBnZZoka+lUT/yhU4N56EzzXU0OQb2/VO3xMzva&#10;ej89S93vlx+HgHh7Mz9uedxvQUQzx38H/DFwfyi5WO0n0kFYBKaJCOssBcFqmq34UCOs0k0Ksizk&#10;JUT5CwAA//8DAFBLAQItABQABgAIAAAAIQC2gziS/gAAAOEBAAATAAAAAAAAAAAAAAAAAAAAAABb&#10;Q29udGVudF9UeXBlc10ueG1sUEsBAi0AFAAGAAgAAAAhADj9If/WAAAAlAEAAAsAAAAAAAAAAAAA&#10;AAAALwEAAF9yZWxzLy5yZWxzUEsBAi0AFAAGAAgAAAAhAJT4spMzAgAAhwQAAA4AAAAAAAAAAAAA&#10;AAAALgIAAGRycy9lMm9Eb2MueG1sUEsBAi0AFAAGAAgAAAAhANVH5GPhAAAADAEAAA8AAAAAAAAA&#10;AAAAAAAAjQQAAGRycy9kb3ducmV2LnhtbFBLBQYAAAAABAAEAPMAAACbBQAAAAANDQpBQUFBQUFB&#10;QWpRUUFBR1J5Y1==&#10;" o:allowincell="f" filled="f" stroked="f" strokeweight="1.25pt">
            <v:textbox inset=",7.2pt,,7.2pt">
              <w:txbxContent>
                <w:p w14:paraId="6C250E4F" w14:textId="77777777" w:rsidR="0048041D" w:rsidRPr="003E4902" w:rsidRDefault="0048041D" w:rsidP="003E4902">
                  <w:pPr>
                    <w:pBdr>
                      <w:left w:val="single" w:sz="4" w:space="9" w:color="4472C4" w:themeColor="accent1"/>
                    </w:pBdr>
                    <w:jc w:val="both"/>
                    <w:rPr>
                      <w:rFonts w:asciiTheme="majorHAnsi" w:eastAsiaTheme="majorEastAsia" w:hAnsiTheme="majorHAnsi" w:cstheme="majorBidi"/>
                      <w:color w:val="2F5496" w:themeColor="accent1" w:themeShade="BF"/>
                      <w:sz w:val="36"/>
                      <w:szCs w:val="36"/>
                    </w:rPr>
                  </w:pPr>
                  <w:r>
                    <w:rPr>
                      <w:rFonts w:asciiTheme="majorHAnsi" w:hAnsiTheme="majorHAnsi"/>
                      <w:color w:val="2F5496" w:themeColor="accent1" w:themeShade="BF"/>
                      <w:sz w:val="36"/>
                    </w:rPr>
                    <w:t xml:space="preserve">Článek 6 SEU </w:t>
                  </w:r>
                </w:p>
                <w:p w14:paraId="64A2E508" w14:textId="77777777" w:rsidR="0048041D" w:rsidRPr="007B2218" w:rsidRDefault="0048041D" w:rsidP="003E4902">
                  <w:pPr>
                    <w:pBdr>
                      <w:left w:val="single" w:sz="4" w:space="9" w:color="4472C4" w:themeColor="accent1"/>
                    </w:pBdr>
                    <w:jc w:val="both"/>
                    <w:rPr>
                      <w:color w:val="2F5496" w:themeColor="accent1" w:themeShade="BF"/>
                    </w:rPr>
                  </w:pPr>
                  <w:r>
                    <w:rPr>
                      <w:color w:val="2F5496" w:themeColor="accent1" w:themeShade="BF"/>
                      <w:sz w:val="20"/>
                    </w:rPr>
                    <w:t xml:space="preserve">uvádí prostředky na ochranu práv, jako jsou: Listina se stejnou právní sílou jako Smlouvy; budoucí přistoupení EU k EÚLP; a obecné zásady unijního práva, které vyplývají z ústavních tradic společných členským státům a záruk EÚLP. </w:t>
                  </w:r>
                </w:p>
              </w:txbxContent>
            </v:textbox>
            <w10:wrap type="square" anchorx="margin"/>
          </v:rect>
        </w:pict>
      </w:r>
      <w:r w:rsidR="001E6D6E" w:rsidRPr="00674960">
        <w:rPr>
          <w:color w:val="384575"/>
        </w:rPr>
        <w:t>S postupným zaváděním věcných odkazů na smlouvy se judikatura zabývající se otázkami lidských práv rozšiřovala.</w:t>
      </w:r>
      <w:r w:rsidR="00460264" w:rsidRPr="00674960">
        <w:rPr>
          <w:color w:val="384575"/>
        </w:rPr>
        <w:t xml:space="preserve"> V </w:t>
      </w:r>
      <w:r w:rsidR="001E6D6E" w:rsidRPr="00674960">
        <w:rPr>
          <w:color w:val="384575"/>
        </w:rPr>
        <w:t>roce 2000 bylo dosaženo politické shody nad obsahem Listiny základních práv Evropské unie (dále jen „Listina“), která má od vstupu Lisabonské smlouvy</w:t>
      </w:r>
      <w:r w:rsidR="00460264" w:rsidRPr="00674960">
        <w:rPr>
          <w:color w:val="384575"/>
        </w:rPr>
        <w:t xml:space="preserve"> v </w:t>
      </w:r>
      <w:r w:rsidR="001E6D6E" w:rsidRPr="00674960">
        <w:rPr>
          <w:color w:val="384575"/>
        </w:rPr>
        <w:t xml:space="preserve">platnost stejnou právní sílu jako ostatní primární unijní právo. </w:t>
      </w:r>
    </w:p>
    <w:p w14:paraId="247E1D02" w14:textId="77777777" w:rsidR="00505929" w:rsidRPr="00674960" w:rsidRDefault="00505929" w:rsidP="009F7D3D">
      <w:pPr>
        <w:spacing w:after="120" w:line="276" w:lineRule="auto"/>
        <w:jc w:val="both"/>
        <w:rPr>
          <w:rFonts w:cstheme="minorHAnsi"/>
          <w:color w:val="384575"/>
        </w:rPr>
      </w:pPr>
      <w:r w:rsidRPr="00674960">
        <w:rPr>
          <w:color w:val="384575"/>
        </w:rPr>
        <w:t>Listina základních práv EU, označovaná některými jako Listina práv EU po vzoru Spojených států, stanoví</w:t>
      </w:r>
      <w:r w:rsidR="00460264" w:rsidRPr="00674960">
        <w:rPr>
          <w:color w:val="384575"/>
        </w:rPr>
        <w:t xml:space="preserve"> v </w:t>
      </w:r>
      <w:r w:rsidRPr="00674960">
        <w:rPr>
          <w:color w:val="384575"/>
        </w:rPr>
        <w:t>rámci právního řádu Evropské unie komplexní spektrum občanských, politických, hospodářských, sociálních</w:t>
      </w:r>
      <w:r w:rsidR="00460264" w:rsidRPr="00674960">
        <w:rPr>
          <w:color w:val="384575"/>
        </w:rPr>
        <w:t xml:space="preserve"> a </w:t>
      </w:r>
      <w:r w:rsidRPr="00674960">
        <w:rPr>
          <w:color w:val="384575"/>
        </w:rPr>
        <w:t>dalších modernějších kategorií práv.</w:t>
      </w:r>
    </w:p>
    <w:p w14:paraId="152B98CB" w14:textId="77777777" w:rsidR="00505929" w:rsidRPr="00674960" w:rsidRDefault="001E6D6E" w:rsidP="009F7D3D">
      <w:pPr>
        <w:spacing w:after="120" w:line="276" w:lineRule="auto"/>
        <w:jc w:val="both"/>
        <w:rPr>
          <w:rFonts w:cstheme="minorHAnsi"/>
          <w:color w:val="384575"/>
        </w:rPr>
      </w:pPr>
      <w:r w:rsidRPr="00674960">
        <w:rPr>
          <w:color w:val="384575"/>
        </w:rPr>
        <w:t>V současné době má Listina postavení právně závazného nástroje. Jak již bylo uvedeno, přijetí Listiny není první aktivitou EU</w:t>
      </w:r>
      <w:r w:rsidR="00460264" w:rsidRPr="00674960">
        <w:rPr>
          <w:color w:val="384575"/>
        </w:rPr>
        <w:t xml:space="preserve"> v </w:t>
      </w:r>
      <w:r w:rsidRPr="00674960">
        <w:rPr>
          <w:color w:val="384575"/>
        </w:rPr>
        <w:t>oblasti lidských práv. To je důležitá poznámka, neboť Listina často není vnímána jako dokument, který vytváří</w:t>
      </w:r>
      <w:r w:rsidR="00460264" w:rsidRPr="00674960">
        <w:rPr>
          <w:color w:val="384575"/>
        </w:rPr>
        <w:t xml:space="preserve"> a </w:t>
      </w:r>
      <w:r w:rsidRPr="00674960">
        <w:rPr>
          <w:color w:val="384575"/>
        </w:rPr>
        <w:t>formuluje nová práva. Jejím účelem je spíše stvrdit práva, která již</w:t>
      </w:r>
      <w:r w:rsidR="00460264" w:rsidRPr="00674960">
        <w:rPr>
          <w:color w:val="384575"/>
        </w:rPr>
        <w:t xml:space="preserve"> v </w:t>
      </w:r>
      <w:r w:rsidRPr="00674960">
        <w:rPr>
          <w:color w:val="384575"/>
        </w:rPr>
        <w:t>unijním právu existují. Nicméně výslovná formulace některých práv</w:t>
      </w:r>
      <w:r w:rsidR="00460264" w:rsidRPr="00674960">
        <w:rPr>
          <w:color w:val="384575"/>
        </w:rPr>
        <w:t xml:space="preserve"> v </w:t>
      </w:r>
      <w:r w:rsidRPr="00674960">
        <w:rPr>
          <w:color w:val="384575"/>
        </w:rPr>
        <w:t>Listině nemá</w:t>
      </w:r>
      <w:r w:rsidR="00460264" w:rsidRPr="00674960">
        <w:rPr>
          <w:color w:val="384575"/>
        </w:rPr>
        <w:t xml:space="preserve"> v </w:t>
      </w:r>
      <w:r w:rsidRPr="00674960">
        <w:rPr>
          <w:color w:val="384575"/>
        </w:rPr>
        <w:t>mezinárodním právu ani</w:t>
      </w:r>
      <w:r w:rsidR="00460264" w:rsidRPr="00674960">
        <w:rPr>
          <w:color w:val="384575"/>
        </w:rPr>
        <w:t xml:space="preserve"> v </w:t>
      </w:r>
      <w:r w:rsidRPr="00674960">
        <w:rPr>
          <w:color w:val="384575"/>
        </w:rPr>
        <w:t>jiných nástrojích</w:t>
      </w:r>
      <w:r w:rsidR="00460264" w:rsidRPr="00674960">
        <w:rPr>
          <w:color w:val="384575"/>
        </w:rPr>
        <w:t xml:space="preserve"> v </w:t>
      </w:r>
      <w:r w:rsidRPr="00674960">
        <w:rPr>
          <w:color w:val="384575"/>
        </w:rPr>
        <w:t>oblasti lidských práv obdoby. Obsahu některých</w:t>
      </w:r>
      <w:r w:rsidR="00460264" w:rsidRPr="00674960">
        <w:rPr>
          <w:color w:val="384575"/>
        </w:rPr>
        <w:t xml:space="preserve"> z </w:t>
      </w:r>
      <w:r w:rsidRPr="00674960">
        <w:rPr>
          <w:color w:val="384575"/>
        </w:rPr>
        <w:t>těchto práv se budeme věnovat</w:t>
      </w:r>
      <w:r w:rsidR="00460264" w:rsidRPr="00674960">
        <w:rPr>
          <w:color w:val="384575"/>
        </w:rPr>
        <w:t xml:space="preserve"> v </w:t>
      </w:r>
      <w:r w:rsidRPr="00674960">
        <w:rPr>
          <w:color w:val="384575"/>
        </w:rPr>
        <w:t>této příručce.</w:t>
      </w:r>
    </w:p>
    <w:p w14:paraId="4491522A" w14:textId="77777777" w:rsidR="00505929" w:rsidRPr="00674960" w:rsidRDefault="00505929" w:rsidP="009F7D3D">
      <w:pPr>
        <w:spacing w:after="120" w:line="276" w:lineRule="auto"/>
        <w:jc w:val="both"/>
        <w:rPr>
          <w:rFonts w:cstheme="minorHAnsi"/>
          <w:color w:val="384575"/>
        </w:rPr>
      </w:pPr>
      <w:r w:rsidRPr="00674960">
        <w:rPr>
          <w:color w:val="384575"/>
        </w:rPr>
        <w:t>Hlavní přínos Listiny však spočívá</w:t>
      </w:r>
      <w:r w:rsidR="00460264" w:rsidRPr="00674960">
        <w:rPr>
          <w:color w:val="384575"/>
        </w:rPr>
        <w:t xml:space="preserve"> v </w:t>
      </w:r>
      <w:r w:rsidRPr="00674960">
        <w:rPr>
          <w:color w:val="384575"/>
        </w:rPr>
        <w:t>méně vzdálených okolnostech: samotná hlavní výhoda dokumentu vyplývá ze skutečnosti, že EU má</w:t>
      </w:r>
      <w:r w:rsidR="00460264" w:rsidRPr="00674960">
        <w:rPr>
          <w:color w:val="384575"/>
        </w:rPr>
        <w:t xml:space="preserve"> k </w:t>
      </w:r>
      <w:r w:rsidRPr="00674960">
        <w:rPr>
          <w:color w:val="384575"/>
        </w:rPr>
        <w:t>dispozici nástroj obsahující závazný soubor jasně</w:t>
      </w:r>
      <w:r w:rsidR="00460264" w:rsidRPr="00674960">
        <w:rPr>
          <w:color w:val="384575"/>
        </w:rPr>
        <w:t xml:space="preserve"> a </w:t>
      </w:r>
      <w:r w:rsidRPr="00674960">
        <w:rPr>
          <w:color w:val="384575"/>
        </w:rPr>
        <w:t>transparentně formulovaných práv.</w:t>
      </w:r>
    </w:p>
    <w:p w14:paraId="1609F01C" w14:textId="77777777" w:rsidR="00505929" w:rsidRPr="00674960" w:rsidRDefault="00000000" w:rsidP="009F7D3D">
      <w:pPr>
        <w:spacing w:after="120" w:line="276" w:lineRule="auto"/>
        <w:jc w:val="both"/>
        <w:rPr>
          <w:rFonts w:cstheme="minorHAnsi"/>
          <w:color w:val="384575"/>
        </w:rPr>
      </w:pPr>
      <w:r w:rsidRPr="00674960">
        <w:rPr>
          <w:color w:val="384575"/>
        </w:rPr>
        <w:pict w14:anchorId="0C8A48CF">
          <v:rect id="_x0000_s1027" style="position:absolute;left:0;text-align:left;margin-left:277.85pt;margin-top:.15pt;width:147.15pt;height:166.5pt;z-index:251656192;visibility:visible;mso-wrap-distance-left:36pt;mso-wrap-distance-right:9.35pt;mso-position-horizontal-relative:margin;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ut+BNQIAAI4EAAAOAAAAZHJzL2Uyb0RvYy54bWysVMtu2zAQvBfoPxC815L8aBLBchA4SFEg&#10;faBpP4CiKEstxWWXtCX367OkZcVogR6KXgQuyZl9zFDr26HT7KDQtWAKns1SzpSRULVmV/BvXx/e&#10;XHPmvDCV0GBUwY/K8dvN61fr3uZqDg3oSiEjEuPy3ha88d7mSeJkozrhZmCVocMasBOeQtwlFYqe&#10;2DudzNP0bdIDVhZBKudo9/50yDeRv66V9J/q2inPdMGpNh+/GL9l+Cabtch3KGzTyrEM8Q9VdKI1&#10;lHSiuhdesD22f1B1rURwUPuZhC6Bum6lij1QN1n6WzdPjbAq9kLDcXYak/t/tPLj4cl+xlC6s48g&#10;fzhmYNsIs1N3iNA3SlSULguDSnrr8gkQAkdQVvYfoCJpxd5DnMFQYxcIqTs2xFEfp1GrwTNJm9nV&#10;TbZYrDiTdDbPsuVqFcVIRH6GW3T+nYKOhUXBkbSM9OLw6HwoR+TnKyGbgYdW66inNqynFKvrq1VE&#10;TEcE0WZsJNQebEJd+KNWgUKbL6pmbRWLjiORuCu3GtnJMWRp8tDZN5GMAOFiTaknbJami5g3ulgF&#10;/EGQ/7Q/jXG6HpAqmnTCpiPw73knUMwNxk/4TnwHnMQaOwtN+qEcqLVRyrBTQnUk+RBOj4IeMS0a&#10;wF+c9fQgCu5+7gUqzvR7Qxa4yZbL8IIuA7wMystAGElUBfecnZZbf5rh3mK7ayhTNkpzR7ap2yjo&#10;S1WjRmT6qPP4QMOruozjrZffyOYZAAD//wMAUEsDBBQABgAIAAAAIQBebVuI3wAAAA0BAAAPAAAA&#10;ZHJzL2Rvd25yZXYueG1sTE9NT8MwDL0j8R8iI3Fj6UAbW9d0QiAuaAcoA65uY9qOxqmadCv/HnMC&#10;Hyw9Pft9ZNvJdepIQ2g9G5jPElDElbct1wb2r49XK1AhIlvsPJOBbwqwzc/PMkytP/ELHYtYKxHh&#10;kKKBJsY+1TpUDTkMM98TC/fpB4dR4FBrO+BJxF2nr5NkqR22LA4N9nTfUPVVjM4Avj0X9eFjfejK&#10;3fikbbubv++DMZcX08NG1t0GVKQp/n3AbwfJD7kEK/3INqjOwGJ5u5ZTAzeghF4tEulXCpQBnWf6&#10;f4v8BwAA//8DAFBLAQItABQABgAIAAAAIQC2gziS/gAAAOEBAAATAAAAAAAAAAAAAAAAAAAAAABb&#10;Q29udGVudF9UeXBlc10ueG1sUEsBAi0AFAAGAAgAAAAhADj9If/WAAAAlAEAAAsAAAAAAAAAAAAA&#10;AAAALwEAAF9yZWxzLy5yZWxzUEsBAi0AFAAGAAgAAAAhAOa634E1AgAAjgQAAA4AAAAAAAAAAAAA&#10;AAAALgIAAGRycy9lMm9Eb2MueG1sUEsBAi0AFAAGAAgAAAAhAF5tW4jfAAAADQEAAA8AAAAAAAAA&#10;AAAAAAAAjwQAAGRycy9kb3ducmV2LnhtbFBLBQYAAAAABAAEAPMAAACbBQAAAAANDQpBQUFBQUFB&#10;QWp3UUFBR1J5Y1==&#10;" o:allowincell="f" filled="f" stroked="f" strokeweight="1.25pt">
            <v:textbox inset=",7.2pt,,7.2pt">
              <w:txbxContent>
                <w:p w14:paraId="2B246A78" w14:textId="77777777" w:rsidR="0048041D" w:rsidRPr="00560CDB" w:rsidRDefault="0048041D">
                  <w:pPr>
                    <w:pBdr>
                      <w:left w:val="single" w:sz="4" w:space="9" w:color="4472C4" w:themeColor="accent1"/>
                    </w:pBdr>
                    <w:rPr>
                      <w:rFonts w:asciiTheme="majorHAnsi" w:eastAsiaTheme="majorEastAsia" w:hAnsiTheme="majorHAnsi" w:cstheme="majorBidi"/>
                      <w:color w:val="2F5496" w:themeColor="accent1" w:themeShade="BF"/>
                      <w:sz w:val="36"/>
                      <w:szCs w:val="36"/>
                    </w:rPr>
                  </w:pPr>
                  <w:r>
                    <w:rPr>
                      <w:rFonts w:asciiTheme="majorHAnsi" w:hAnsiTheme="majorHAnsi"/>
                      <w:color w:val="2F5496" w:themeColor="accent1" w:themeShade="BF"/>
                      <w:sz w:val="36"/>
                    </w:rPr>
                    <w:t>Komu je Listina prospěšná?</w:t>
                  </w:r>
                </w:p>
                <w:p w14:paraId="2F15429B" w14:textId="77777777" w:rsidR="0048041D" w:rsidRPr="00560CDB" w:rsidRDefault="0048041D" w:rsidP="00560CDB">
                  <w:pPr>
                    <w:pBdr>
                      <w:left w:val="single" w:sz="4" w:space="9" w:color="4472C4" w:themeColor="accent1"/>
                    </w:pBdr>
                    <w:jc w:val="both"/>
                    <w:rPr>
                      <w:color w:val="2F5496" w:themeColor="accent1" w:themeShade="BF"/>
                      <w:sz w:val="20"/>
                      <w:szCs w:val="20"/>
                    </w:rPr>
                  </w:pPr>
                  <w:r>
                    <w:rPr>
                      <w:color w:val="2F5496" w:themeColor="accent1" w:themeShade="BF"/>
                      <w:sz w:val="20"/>
                    </w:rPr>
                    <w:t>Občané EU nejsou jediní, kdo může této ochrany využít: na Listinu se mohou odvolávat i občané třetích států a osoby bez státní příslušnosti. Ochrany, kterou Listina poskytuje, využívají s ohledem na některá práva také právnické osoby.</w:t>
                  </w:r>
                </w:p>
              </w:txbxContent>
            </v:textbox>
            <w10:wrap type="square" anchorx="margin"/>
          </v:rect>
        </w:pict>
      </w:r>
      <w:r w:rsidR="00A601E0" w:rsidRPr="00674960">
        <w:rPr>
          <w:color w:val="384575"/>
        </w:rPr>
        <w:t>Je však třeba vědět, že uplatňování těchto práv zjevně není univerzální. Ustanovení této Listiny se uplatní pouze</w:t>
      </w:r>
      <w:r w:rsidR="00460264" w:rsidRPr="00674960">
        <w:rPr>
          <w:color w:val="384575"/>
        </w:rPr>
        <w:t xml:space="preserve"> v </w:t>
      </w:r>
      <w:r w:rsidR="00A601E0" w:rsidRPr="00674960">
        <w:rPr>
          <w:color w:val="384575"/>
        </w:rPr>
        <w:t xml:space="preserve">předem vymezených situacích, </w:t>
      </w:r>
      <w:r w:rsidR="00A601E0" w:rsidRPr="00674960">
        <w:rPr>
          <w:color w:val="384575"/>
        </w:rPr>
        <w:lastRenderedPageBreak/>
        <w:t xml:space="preserve">kdy členské státy EU nebo orgány Unie </w:t>
      </w:r>
      <w:r w:rsidR="00A601E0" w:rsidRPr="00674960">
        <w:rPr>
          <w:i/>
          <w:iCs/>
          <w:color w:val="384575"/>
        </w:rPr>
        <w:t>provádějí unijní právo</w:t>
      </w:r>
      <w:r w:rsidR="00A601E0" w:rsidRPr="00674960">
        <w:rPr>
          <w:color w:val="384575"/>
        </w:rPr>
        <w:t xml:space="preserve"> (článek 51 Listiny). Jak se dozvíme níže, co</w:t>
      </w:r>
      <w:r w:rsidR="00460264" w:rsidRPr="00674960">
        <w:rPr>
          <w:color w:val="384575"/>
        </w:rPr>
        <w:t xml:space="preserve"> v </w:t>
      </w:r>
      <w:r w:rsidR="00A601E0" w:rsidRPr="00674960">
        <w:rPr>
          <w:color w:val="384575"/>
        </w:rPr>
        <w:t>konkrétním případě představuje „provádění unijního práva“, je často složitá otázka, která si vyžádala vyjasnění ze strany SDEU.</w:t>
      </w:r>
    </w:p>
    <w:p w14:paraId="164D320C" w14:textId="77777777" w:rsidR="009E2FCD" w:rsidRPr="00674960" w:rsidRDefault="00505929" w:rsidP="009F7D3D">
      <w:pPr>
        <w:spacing w:after="120" w:line="276" w:lineRule="auto"/>
        <w:jc w:val="both"/>
        <w:rPr>
          <w:rFonts w:cstheme="minorHAnsi"/>
          <w:color w:val="384575"/>
        </w:rPr>
      </w:pPr>
      <w:r w:rsidRPr="00674960">
        <w:rPr>
          <w:color w:val="384575"/>
        </w:rPr>
        <w:t>Nicméně tato relativně omezená oblast působnosti Listiny se ukázala být také příležitostí, jak vnést lidská práva</w:t>
      </w:r>
      <w:r w:rsidR="00460264" w:rsidRPr="00674960">
        <w:rPr>
          <w:color w:val="384575"/>
        </w:rPr>
        <w:t xml:space="preserve"> a </w:t>
      </w:r>
      <w:r w:rsidRPr="00674960">
        <w:rPr>
          <w:color w:val="384575"/>
        </w:rPr>
        <w:t>jejich ochranu do oblastí, kde státy dříve žádná práva přiznat nehodlaly. Uveďme na tomto místě příklad, který ilustruje jedinečnost Listiny</w:t>
      </w:r>
      <w:r w:rsidR="00460264" w:rsidRPr="00674960">
        <w:rPr>
          <w:color w:val="384575"/>
        </w:rPr>
        <w:t xml:space="preserve"> a </w:t>
      </w:r>
      <w:r w:rsidRPr="00674960">
        <w:rPr>
          <w:color w:val="384575"/>
        </w:rPr>
        <w:t>to, jak může být skutečně využita</w:t>
      </w:r>
      <w:r w:rsidR="00460264" w:rsidRPr="00674960">
        <w:rPr>
          <w:color w:val="384575"/>
        </w:rPr>
        <w:t xml:space="preserve"> v </w:t>
      </w:r>
      <w:r w:rsidRPr="00674960">
        <w:rPr>
          <w:color w:val="384575"/>
        </w:rPr>
        <w:t xml:space="preserve">právní praxi. </w:t>
      </w:r>
    </w:p>
    <w:p w14:paraId="2A85C1F7" w14:textId="77777777" w:rsidR="00505929" w:rsidRPr="00674960" w:rsidRDefault="009E2FCD" w:rsidP="009F7D3D">
      <w:pPr>
        <w:spacing w:after="120" w:line="276" w:lineRule="auto"/>
        <w:jc w:val="both"/>
        <w:rPr>
          <w:rFonts w:cstheme="minorHAnsi"/>
          <w:color w:val="384575"/>
        </w:rPr>
      </w:pPr>
      <w:r w:rsidRPr="00674960">
        <w:rPr>
          <w:color w:val="384575"/>
        </w:rPr>
        <w:t>Například otázky migrace jsou obecně vnímány jako záležitost vnitrostátní pravomoci (často se uvádí, že migrace je výlučnou pravomocí suverénních států). Tuto úvahu posiluje skutečnost, že žádný jiný všeobecně použitelný nástroj</w:t>
      </w:r>
      <w:r w:rsidR="00460264" w:rsidRPr="00674960">
        <w:rPr>
          <w:color w:val="384575"/>
        </w:rPr>
        <w:t xml:space="preserve"> v </w:t>
      </w:r>
      <w:r w:rsidRPr="00674960">
        <w:rPr>
          <w:color w:val="384575"/>
        </w:rPr>
        <w:t>oblasti lidských práv neklade na práva související</w:t>
      </w:r>
      <w:r w:rsidR="00460264" w:rsidRPr="00674960">
        <w:rPr>
          <w:color w:val="384575"/>
        </w:rPr>
        <w:t xml:space="preserve"> s </w:t>
      </w:r>
      <w:r w:rsidRPr="00674960">
        <w:rPr>
          <w:color w:val="384575"/>
        </w:rPr>
        <w:t>migrací velký důraz. Ani Evropský soud pro lidská práva (dále jen „ESLP“)</w:t>
      </w:r>
      <w:r w:rsidR="00460264" w:rsidRPr="00674960">
        <w:rPr>
          <w:color w:val="384575"/>
        </w:rPr>
        <w:t xml:space="preserve"> v </w:t>
      </w:r>
      <w:r w:rsidRPr="00674960">
        <w:rPr>
          <w:color w:val="384575"/>
        </w:rPr>
        <w:t>souvislosti</w:t>
      </w:r>
      <w:r w:rsidR="00460264" w:rsidRPr="00674960">
        <w:rPr>
          <w:color w:val="384575"/>
        </w:rPr>
        <w:t xml:space="preserve"> s </w:t>
      </w:r>
      <w:r w:rsidRPr="00674960">
        <w:rPr>
          <w:color w:val="384575"/>
        </w:rPr>
        <w:t>Evropskou úmluvou</w:t>
      </w:r>
      <w:r w:rsidR="00460264" w:rsidRPr="00674960">
        <w:rPr>
          <w:color w:val="384575"/>
        </w:rPr>
        <w:t xml:space="preserve"> o </w:t>
      </w:r>
      <w:r w:rsidRPr="00674960">
        <w:rPr>
          <w:color w:val="384575"/>
        </w:rPr>
        <w:t>lidských právech (dále jen „EÚLP“) neopomíjí ve svých rozsudcích týkajících se přistěhovalectví zdůrazňovat, že státy mají podle mezinárodního práva právo rozhodovat</w:t>
      </w:r>
      <w:r w:rsidR="00460264" w:rsidRPr="00674960">
        <w:rPr>
          <w:color w:val="384575"/>
        </w:rPr>
        <w:t xml:space="preserve"> o </w:t>
      </w:r>
      <w:r w:rsidRPr="00674960">
        <w:rPr>
          <w:color w:val="384575"/>
        </w:rPr>
        <w:t>pobytu cizinců na svém území</w:t>
      </w:r>
      <w:r w:rsidR="00460264" w:rsidRPr="00674960">
        <w:rPr>
          <w:color w:val="384575"/>
        </w:rPr>
        <w:t xml:space="preserve"> a </w:t>
      </w:r>
      <w:r w:rsidRPr="00674960">
        <w:rPr>
          <w:color w:val="384575"/>
        </w:rPr>
        <w:t>že EÚLP neobsahuje žádné právo, které by se týkalo výhradně migrace. SDEU však uvedl, že článek 47 Listiny poskytuje právo na účinnou právní ochranu</w:t>
      </w:r>
      <w:r w:rsidR="00460264" w:rsidRPr="00674960">
        <w:rPr>
          <w:color w:val="384575"/>
        </w:rPr>
        <w:t xml:space="preserve"> a </w:t>
      </w:r>
      <w:r w:rsidRPr="00674960">
        <w:rPr>
          <w:color w:val="384575"/>
        </w:rPr>
        <w:t>spravedlivý proces každému, jehož práva</w:t>
      </w:r>
      <w:r w:rsidR="00460264" w:rsidRPr="00674960">
        <w:rPr>
          <w:color w:val="384575"/>
        </w:rPr>
        <w:t xml:space="preserve"> a </w:t>
      </w:r>
      <w:r w:rsidRPr="00674960">
        <w:rPr>
          <w:color w:val="384575"/>
        </w:rPr>
        <w:t>svobody zaručené právem Unie byly porušeny. Praktickým důsledkem práva podle článku 47 Listiny je přístup jednotlivce</w:t>
      </w:r>
      <w:r w:rsidR="00460264" w:rsidRPr="00674960">
        <w:rPr>
          <w:color w:val="384575"/>
        </w:rPr>
        <w:t xml:space="preserve"> k </w:t>
      </w:r>
      <w:r w:rsidRPr="00674960">
        <w:rPr>
          <w:color w:val="384575"/>
        </w:rPr>
        <w:t>nestrannému</w:t>
      </w:r>
      <w:r w:rsidR="00460264" w:rsidRPr="00674960">
        <w:rPr>
          <w:color w:val="384575"/>
        </w:rPr>
        <w:t xml:space="preserve"> a </w:t>
      </w:r>
      <w:r w:rsidRPr="00674960">
        <w:rPr>
          <w:color w:val="384575"/>
        </w:rPr>
        <w:t>nezávislému soudu zřízenému zákonem,</w:t>
      </w:r>
      <w:r w:rsidR="00460264" w:rsidRPr="00674960">
        <w:rPr>
          <w:color w:val="384575"/>
        </w:rPr>
        <w:t xml:space="preserve"> a </w:t>
      </w:r>
      <w:r w:rsidRPr="00674960">
        <w:rPr>
          <w:color w:val="384575"/>
        </w:rPr>
        <w:t>to včetně osob cizí státní příslušnosti, které žádají</w:t>
      </w:r>
      <w:r w:rsidR="00460264" w:rsidRPr="00674960">
        <w:rPr>
          <w:color w:val="384575"/>
        </w:rPr>
        <w:t xml:space="preserve"> o </w:t>
      </w:r>
      <w:r w:rsidRPr="00674960">
        <w:rPr>
          <w:color w:val="384575"/>
        </w:rPr>
        <w:t>krátkodobé vízum za účelem vstupu do Evropské unie.</w:t>
      </w:r>
    </w:p>
    <w:p w14:paraId="686EDEC5" w14:textId="77777777" w:rsidR="00CC7B1F" w:rsidRPr="007D56D6" w:rsidRDefault="00CC7B1F" w:rsidP="00EC2273">
      <w:pPr>
        <w:spacing w:line="276" w:lineRule="auto"/>
        <w:jc w:val="both"/>
        <w:rPr>
          <w:rFonts w:cstheme="minorHAnsi"/>
          <w:color w:val="000000"/>
        </w:rPr>
      </w:pPr>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E2F3" w:themeFill="accent1" w:themeFillTint="33"/>
        <w:tblLook w:val="04A0" w:firstRow="1" w:lastRow="0" w:firstColumn="1" w:lastColumn="0" w:noHBand="0" w:noVBand="1"/>
      </w:tblPr>
      <w:tblGrid>
        <w:gridCol w:w="8613"/>
      </w:tblGrid>
      <w:tr w:rsidR="00283692" w14:paraId="33FA957D" w14:textId="77777777" w:rsidTr="0048041D">
        <w:tc>
          <w:tcPr>
            <w:tcW w:w="8613" w:type="dxa"/>
            <w:shd w:val="clear" w:color="auto" w:fill="D9E2F3" w:themeFill="accent1" w:themeFillTint="33"/>
          </w:tcPr>
          <w:p w14:paraId="006514B2" w14:textId="7314F1BF" w:rsidR="00283692" w:rsidRPr="00204499" w:rsidRDefault="00204499" w:rsidP="00BD39D4">
            <w:pPr>
              <w:spacing w:line="276" w:lineRule="auto"/>
              <w:jc w:val="right"/>
              <w:rPr>
                <w:rFonts w:asciiTheme="minorHAnsi" w:hAnsiTheme="minorHAnsi" w:cstheme="minorHAnsi"/>
                <w:b/>
                <w:color w:val="000000" w:themeColor="text1"/>
                <w:sz w:val="20"/>
                <w:szCs w:val="20"/>
              </w:rPr>
            </w:pPr>
            <w:hyperlink r:id="rId14" w:history="1">
              <w:r w:rsidR="00BD39D4" w:rsidRPr="00204499">
                <w:rPr>
                  <w:rStyle w:val="Hypertextovodkaz"/>
                  <w:rFonts w:asciiTheme="minorHAnsi" w:hAnsiTheme="minorHAnsi"/>
                  <w:b/>
                  <w:color w:val="000000" w:themeColor="text1"/>
                  <w:sz w:val="20"/>
                </w:rPr>
                <w:t xml:space="preserve">Rozsudek Soudního dvora ze dne 13. prosince 2017, </w:t>
              </w:r>
              <w:proofErr w:type="spellStart"/>
              <w:r w:rsidR="00BD39D4" w:rsidRPr="00204499">
                <w:rPr>
                  <w:rStyle w:val="Hypertextovodkaz"/>
                  <w:rFonts w:asciiTheme="minorHAnsi" w:hAnsiTheme="minorHAnsi"/>
                  <w:b/>
                  <w:i/>
                  <w:color w:val="000000" w:themeColor="text1"/>
                  <w:sz w:val="20"/>
                </w:rPr>
                <w:t>Soufiane</w:t>
              </w:r>
              <w:proofErr w:type="spellEnd"/>
              <w:r w:rsidR="00BD39D4" w:rsidRPr="00204499">
                <w:rPr>
                  <w:rStyle w:val="Hypertextovodkaz"/>
                  <w:rFonts w:asciiTheme="minorHAnsi" w:hAnsiTheme="minorHAnsi"/>
                  <w:b/>
                  <w:i/>
                  <w:color w:val="000000" w:themeColor="text1"/>
                  <w:sz w:val="20"/>
                </w:rPr>
                <w:t xml:space="preserve"> El Hassani v. </w:t>
              </w:r>
              <w:proofErr w:type="spellStart"/>
              <w:r w:rsidR="00BD39D4" w:rsidRPr="00204499">
                <w:rPr>
                  <w:rStyle w:val="Hypertextovodkaz"/>
                  <w:rFonts w:asciiTheme="minorHAnsi" w:hAnsiTheme="minorHAnsi"/>
                  <w:b/>
                  <w:i/>
                  <w:color w:val="000000" w:themeColor="text1"/>
                  <w:sz w:val="20"/>
                </w:rPr>
                <w:t>Minister</w:t>
              </w:r>
              <w:proofErr w:type="spellEnd"/>
              <w:r w:rsidR="00BD39D4" w:rsidRPr="00204499">
                <w:rPr>
                  <w:rStyle w:val="Hypertextovodkaz"/>
                  <w:rFonts w:asciiTheme="minorHAnsi" w:hAnsiTheme="minorHAnsi"/>
                  <w:b/>
                  <w:i/>
                  <w:color w:val="000000" w:themeColor="text1"/>
                  <w:sz w:val="20"/>
                </w:rPr>
                <w:t xml:space="preserve"> </w:t>
              </w:r>
              <w:proofErr w:type="spellStart"/>
              <w:r w:rsidR="00BD39D4" w:rsidRPr="00204499">
                <w:rPr>
                  <w:rStyle w:val="Hypertextovodkaz"/>
                  <w:rFonts w:asciiTheme="minorHAnsi" w:hAnsiTheme="minorHAnsi"/>
                  <w:b/>
                  <w:i/>
                  <w:color w:val="000000" w:themeColor="text1"/>
                  <w:sz w:val="20"/>
                </w:rPr>
                <w:t>Spraw</w:t>
              </w:r>
              <w:proofErr w:type="spellEnd"/>
              <w:r w:rsidR="00BD39D4" w:rsidRPr="00204499">
                <w:rPr>
                  <w:rStyle w:val="Hypertextovodkaz"/>
                  <w:rFonts w:asciiTheme="minorHAnsi" w:hAnsiTheme="minorHAnsi"/>
                  <w:b/>
                  <w:i/>
                  <w:color w:val="000000" w:themeColor="text1"/>
                  <w:sz w:val="20"/>
                </w:rPr>
                <w:t xml:space="preserve"> </w:t>
              </w:r>
              <w:proofErr w:type="spellStart"/>
              <w:r w:rsidR="00BD39D4" w:rsidRPr="00204499">
                <w:rPr>
                  <w:rStyle w:val="Hypertextovodkaz"/>
                  <w:rFonts w:asciiTheme="minorHAnsi" w:hAnsiTheme="minorHAnsi"/>
                  <w:b/>
                  <w:i/>
                  <w:color w:val="000000" w:themeColor="text1"/>
                  <w:sz w:val="20"/>
                </w:rPr>
                <w:t>Zagranicznych</w:t>
              </w:r>
              <w:proofErr w:type="spellEnd"/>
              <w:r w:rsidR="00BD39D4" w:rsidRPr="00204499">
                <w:rPr>
                  <w:rStyle w:val="Hypertextovodkaz"/>
                  <w:rFonts w:asciiTheme="minorHAnsi" w:hAnsiTheme="minorHAnsi"/>
                  <w:b/>
                  <w:color w:val="000000" w:themeColor="text1"/>
                  <w:sz w:val="20"/>
                </w:rPr>
                <w:t>, C-403/16, ECLI:EU:C:2017:960</w:t>
              </w:r>
            </w:hyperlink>
          </w:p>
          <w:p w14:paraId="40D79E12" w14:textId="77777777" w:rsidR="0049009B" w:rsidRPr="007D56D6" w:rsidRDefault="0049009B" w:rsidP="0049009B">
            <w:pPr>
              <w:rPr>
                <w:rFonts w:asciiTheme="minorHAnsi" w:hAnsiTheme="minorHAnsi" w:cstheme="minorHAnsi"/>
                <w:color w:val="000000"/>
                <w:sz w:val="20"/>
                <w:szCs w:val="20"/>
                <w:highlight w:val="yellow"/>
              </w:rPr>
            </w:pPr>
          </w:p>
          <w:p w14:paraId="2AD7F53A" w14:textId="77777777" w:rsidR="0049009B" w:rsidRPr="009619A1" w:rsidRDefault="0049009B" w:rsidP="0049009B">
            <w:pPr>
              <w:spacing w:line="276" w:lineRule="auto"/>
              <w:jc w:val="both"/>
              <w:rPr>
                <w:rFonts w:asciiTheme="minorHAnsi" w:hAnsiTheme="minorHAnsi" w:cstheme="minorHAnsi"/>
                <w:color w:val="000000"/>
                <w:sz w:val="20"/>
                <w:szCs w:val="20"/>
              </w:rPr>
            </w:pPr>
            <w:r>
              <w:rPr>
                <w:rFonts w:asciiTheme="minorHAnsi" w:hAnsiTheme="minorHAnsi"/>
                <w:color w:val="000000"/>
                <w:sz w:val="20"/>
              </w:rPr>
              <w:t>S. El Hassani podal</w:t>
            </w:r>
            <w:r w:rsidR="00460264">
              <w:rPr>
                <w:rFonts w:asciiTheme="minorHAnsi" w:hAnsiTheme="minorHAnsi"/>
                <w:color w:val="000000"/>
                <w:sz w:val="20"/>
              </w:rPr>
              <w:t xml:space="preserve"> u </w:t>
            </w:r>
            <w:r>
              <w:rPr>
                <w:rFonts w:asciiTheme="minorHAnsi" w:hAnsiTheme="minorHAnsi"/>
                <w:color w:val="000000"/>
                <w:sz w:val="20"/>
              </w:rPr>
              <w:t>konzula Polské republiky</w:t>
            </w:r>
            <w:r w:rsidR="00460264">
              <w:rPr>
                <w:rFonts w:asciiTheme="minorHAnsi" w:hAnsiTheme="minorHAnsi"/>
                <w:color w:val="000000"/>
                <w:sz w:val="20"/>
              </w:rPr>
              <w:t xml:space="preserve"> v </w:t>
            </w:r>
            <w:r>
              <w:rPr>
                <w:rFonts w:asciiTheme="minorHAnsi" w:hAnsiTheme="minorHAnsi"/>
                <w:color w:val="000000"/>
                <w:sz w:val="20"/>
              </w:rPr>
              <w:t>Rabatu žádost</w:t>
            </w:r>
            <w:r w:rsidR="00460264">
              <w:rPr>
                <w:rFonts w:asciiTheme="minorHAnsi" w:hAnsiTheme="minorHAnsi"/>
                <w:color w:val="000000"/>
                <w:sz w:val="20"/>
              </w:rPr>
              <w:t xml:space="preserve"> o </w:t>
            </w:r>
            <w:r>
              <w:rPr>
                <w:rFonts w:asciiTheme="minorHAnsi" w:hAnsiTheme="minorHAnsi"/>
                <w:color w:val="000000"/>
                <w:sz w:val="20"/>
              </w:rPr>
              <w:t>krátkodobé vízum, neboť měl</w:t>
            </w:r>
            <w:r w:rsidR="00460264">
              <w:rPr>
                <w:rFonts w:asciiTheme="minorHAnsi" w:hAnsiTheme="minorHAnsi"/>
                <w:color w:val="000000"/>
                <w:sz w:val="20"/>
              </w:rPr>
              <w:t xml:space="preserve"> v </w:t>
            </w:r>
            <w:r>
              <w:rPr>
                <w:rFonts w:asciiTheme="minorHAnsi" w:hAnsiTheme="minorHAnsi"/>
                <w:color w:val="000000"/>
                <w:sz w:val="20"/>
              </w:rPr>
              <w:t>úmyslu navštívit</w:t>
            </w:r>
            <w:r w:rsidR="00460264">
              <w:rPr>
                <w:rFonts w:asciiTheme="minorHAnsi" w:hAnsiTheme="minorHAnsi"/>
                <w:color w:val="000000"/>
                <w:sz w:val="20"/>
              </w:rPr>
              <w:t xml:space="preserve"> v </w:t>
            </w:r>
            <w:r>
              <w:rPr>
                <w:rFonts w:asciiTheme="minorHAnsi" w:hAnsiTheme="minorHAnsi"/>
                <w:color w:val="000000"/>
                <w:sz w:val="20"/>
              </w:rPr>
              <w:t>Polsku svou manželku</w:t>
            </w:r>
            <w:r w:rsidR="00460264">
              <w:rPr>
                <w:rFonts w:asciiTheme="minorHAnsi" w:hAnsiTheme="minorHAnsi"/>
                <w:color w:val="000000"/>
                <w:sz w:val="20"/>
              </w:rPr>
              <w:t xml:space="preserve"> a </w:t>
            </w:r>
            <w:r>
              <w:rPr>
                <w:rFonts w:asciiTheme="minorHAnsi" w:hAnsiTheme="minorHAnsi"/>
                <w:color w:val="000000"/>
                <w:sz w:val="20"/>
              </w:rPr>
              <w:t>dítě, kteří jsou polskými státními příslušníky. Žádost</w:t>
            </w:r>
            <w:r w:rsidR="00460264">
              <w:rPr>
                <w:rFonts w:asciiTheme="minorHAnsi" w:hAnsiTheme="minorHAnsi"/>
                <w:color w:val="000000"/>
                <w:sz w:val="20"/>
              </w:rPr>
              <w:t xml:space="preserve"> i </w:t>
            </w:r>
            <w:r>
              <w:rPr>
                <w:rFonts w:asciiTheme="minorHAnsi" w:hAnsiTheme="minorHAnsi"/>
                <w:color w:val="000000"/>
                <w:sz w:val="20"/>
              </w:rPr>
              <w:t>následné odvolání proti zamítnutí žádosti</w:t>
            </w:r>
            <w:r w:rsidR="00460264">
              <w:rPr>
                <w:rFonts w:asciiTheme="minorHAnsi" w:hAnsiTheme="minorHAnsi"/>
                <w:color w:val="000000"/>
                <w:sz w:val="20"/>
              </w:rPr>
              <w:t xml:space="preserve"> o </w:t>
            </w:r>
            <w:r>
              <w:rPr>
                <w:rFonts w:asciiTheme="minorHAnsi" w:hAnsiTheme="minorHAnsi"/>
                <w:color w:val="000000"/>
                <w:sz w:val="20"/>
              </w:rPr>
              <w:t>udělení víza však konzul zamítl</w:t>
            </w:r>
            <w:r w:rsidR="00460264">
              <w:rPr>
                <w:rFonts w:asciiTheme="minorHAnsi" w:hAnsiTheme="minorHAnsi"/>
                <w:color w:val="000000"/>
                <w:sz w:val="20"/>
              </w:rPr>
              <w:t xml:space="preserve"> z </w:t>
            </w:r>
            <w:r>
              <w:rPr>
                <w:rFonts w:asciiTheme="minorHAnsi" w:hAnsiTheme="minorHAnsi"/>
                <w:color w:val="000000"/>
                <w:sz w:val="20"/>
              </w:rPr>
              <w:t>důvodu, že neměl žádnou jistotu</w:t>
            </w:r>
            <w:r w:rsidR="00460264">
              <w:rPr>
                <w:rFonts w:asciiTheme="minorHAnsi" w:hAnsiTheme="minorHAnsi"/>
                <w:color w:val="000000"/>
                <w:sz w:val="20"/>
              </w:rPr>
              <w:t xml:space="preserve"> o </w:t>
            </w:r>
            <w:r>
              <w:rPr>
                <w:rFonts w:asciiTheme="minorHAnsi" w:hAnsiTheme="minorHAnsi"/>
                <w:color w:val="000000"/>
                <w:sz w:val="20"/>
              </w:rPr>
              <w:t xml:space="preserve">záměru S. El </w:t>
            </w:r>
            <w:proofErr w:type="spellStart"/>
            <w:r>
              <w:rPr>
                <w:rFonts w:asciiTheme="minorHAnsi" w:hAnsiTheme="minorHAnsi"/>
                <w:color w:val="000000"/>
                <w:sz w:val="20"/>
              </w:rPr>
              <w:t>Hassaniho</w:t>
            </w:r>
            <w:proofErr w:type="spellEnd"/>
            <w:r>
              <w:rPr>
                <w:rFonts w:asciiTheme="minorHAnsi" w:hAnsiTheme="minorHAnsi"/>
                <w:color w:val="000000"/>
                <w:sz w:val="20"/>
              </w:rPr>
              <w:t xml:space="preserve"> opustit území Polska před uplynutím doby platnosti jeho víza. S. El Hassani podal žalobu proti zamítnutí žádosti</w:t>
            </w:r>
            <w:r w:rsidR="00460264">
              <w:rPr>
                <w:rFonts w:asciiTheme="minorHAnsi" w:hAnsiTheme="minorHAnsi"/>
                <w:color w:val="000000"/>
                <w:sz w:val="20"/>
              </w:rPr>
              <w:t xml:space="preserve"> o </w:t>
            </w:r>
            <w:r>
              <w:rPr>
                <w:rFonts w:asciiTheme="minorHAnsi" w:hAnsiTheme="minorHAnsi"/>
                <w:color w:val="000000"/>
                <w:sz w:val="20"/>
              </w:rPr>
              <w:t>udělení víza</w:t>
            </w:r>
            <w:r w:rsidR="00460264">
              <w:rPr>
                <w:rFonts w:asciiTheme="minorHAnsi" w:hAnsiTheme="minorHAnsi"/>
                <w:color w:val="000000"/>
                <w:sz w:val="20"/>
              </w:rPr>
              <w:t xml:space="preserve"> u </w:t>
            </w:r>
            <w:r>
              <w:rPr>
                <w:rFonts w:asciiTheme="minorHAnsi" w:hAnsiTheme="minorHAnsi"/>
                <w:color w:val="000000"/>
                <w:sz w:val="20"/>
              </w:rPr>
              <w:t>Krajského správního soudu ve Varšavě, který ji zamítl</w:t>
            </w:r>
            <w:r w:rsidR="00460264">
              <w:rPr>
                <w:rFonts w:asciiTheme="minorHAnsi" w:hAnsiTheme="minorHAnsi"/>
                <w:color w:val="000000"/>
                <w:sz w:val="20"/>
              </w:rPr>
              <w:t xml:space="preserve"> s </w:t>
            </w:r>
            <w:r>
              <w:rPr>
                <w:rFonts w:asciiTheme="minorHAnsi" w:hAnsiTheme="minorHAnsi"/>
                <w:color w:val="000000"/>
                <w:sz w:val="20"/>
              </w:rPr>
              <w:t>odůvodněním, že podle tehdy platných polských právních předpisů neměly polské soudy pravomoc</w:t>
            </w:r>
            <w:r w:rsidR="00460264">
              <w:rPr>
                <w:rFonts w:asciiTheme="minorHAnsi" w:hAnsiTheme="minorHAnsi"/>
                <w:color w:val="000000"/>
                <w:sz w:val="20"/>
              </w:rPr>
              <w:t xml:space="preserve"> k </w:t>
            </w:r>
            <w:r>
              <w:rPr>
                <w:rFonts w:asciiTheme="minorHAnsi" w:hAnsiTheme="minorHAnsi"/>
                <w:color w:val="000000"/>
                <w:sz w:val="20"/>
              </w:rPr>
              <w:t>rozhodování</w:t>
            </w:r>
            <w:r w:rsidR="00460264">
              <w:rPr>
                <w:rFonts w:asciiTheme="minorHAnsi" w:hAnsiTheme="minorHAnsi"/>
                <w:color w:val="000000"/>
                <w:sz w:val="20"/>
              </w:rPr>
              <w:t xml:space="preserve"> o </w:t>
            </w:r>
            <w:r>
              <w:rPr>
                <w:rFonts w:asciiTheme="minorHAnsi" w:hAnsiTheme="minorHAnsi"/>
                <w:color w:val="000000"/>
                <w:sz w:val="20"/>
              </w:rPr>
              <w:t>žalobě podané proti rozhodnutí konzula</w:t>
            </w:r>
            <w:r w:rsidR="00460264">
              <w:rPr>
                <w:rFonts w:asciiTheme="minorHAnsi" w:hAnsiTheme="minorHAnsi"/>
                <w:color w:val="000000"/>
                <w:sz w:val="20"/>
              </w:rPr>
              <w:t xml:space="preserve"> o </w:t>
            </w:r>
            <w:r>
              <w:rPr>
                <w:rFonts w:asciiTheme="minorHAnsi" w:hAnsiTheme="minorHAnsi"/>
                <w:color w:val="000000"/>
                <w:sz w:val="20"/>
              </w:rPr>
              <w:t>zamítnutí žádosti</w:t>
            </w:r>
            <w:r w:rsidR="00460264">
              <w:rPr>
                <w:rFonts w:asciiTheme="minorHAnsi" w:hAnsiTheme="minorHAnsi"/>
                <w:color w:val="000000"/>
                <w:sz w:val="20"/>
              </w:rPr>
              <w:t xml:space="preserve"> o </w:t>
            </w:r>
            <w:r>
              <w:rPr>
                <w:rFonts w:asciiTheme="minorHAnsi" w:hAnsiTheme="minorHAnsi"/>
                <w:color w:val="000000"/>
                <w:sz w:val="20"/>
              </w:rPr>
              <w:t>udělení víza. S. El Hassani se obrátil na polský Nejvyšší správní soud, který</w:t>
            </w:r>
            <w:r w:rsidR="00460264">
              <w:rPr>
                <w:rFonts w:asciiTheme="minorHAnsi" w:hAnsiTheme="minorHAnsi"/>
                <w:color w:val="000000"/>
                <w:sz w:val="20"/>
              </w:rPr>
              <w:t xml:space="preserve"> k </w:t>
            </w:r>
            <w:r>
              <w:rPr>
                <w:rFonts w:asciiTheme="minorHAnsi" w:hAnsiTheme="minorHAnsi"/>
                <w:color w:val="000000"/>
                <w:sz w:val="20"/>
              </w:rPr>
              <w:t>Soudnímu dvoru EU podal žádost</w:t>
            </w:r>
            <w:r w:rsidR="00460264">
              <w:rPr>
                <w:rFonts w:asciiTheme="minorHAnsi" w:hAnsiTheme="minorHAnsi"/>
                <w:color w:val="000000"/>
                <w:sz w:val="20"/>
              </w:rPr>
              <w:t xml:space="preserve"> o </w:t>
            </w:r>
            <w:r>
              <w:rPr>
                <w:rFonts w:asciiTheme="minorHAnsi" w:hAnsiTheme="minorHAnsi"/>
                <w:color w:val="000000"/>
                <w:sz w:val="20"/>
              </w:rPr>
              <w:t>rozhodnutí</w:t>
            </w:r>
            <w:r w:rsidR="00460264">
              <w:rPr>
                <w:rFonts w:asciiTheme="minorHAnsi" w:hAnsiTheme="minorHAnsi"/>
                <w:color w:val="000000"/>
                <w:sz w:val="20"/>
              </w:rPr>
              <w:t xml:space="preserve"> o </w:t>
            </w:r>
            <w:r>
              <w:rPr>
                <w:rFonts w:asciiTheme="minorHAnsi" w:hAnsiTheme="minorHAnsi"/>
                <w:color w:val="000000"/>
                <w:sz w:val="20"/>
              </w:rPr>
              <w:t>předběžné otázce.</w:t>
            </w:r>
          </w:p>
          <w:p w14:paraId="39E78E62" w14:textId="77777777" w:rsidR="0049009B" w:rsidRPr="007D56D6" w:rsidRDefault="0049009B" w:rsidP="0049009B">
            <w:pPr>
              <w:spacing w:line="276" w:lineRule="auto"/>
              <w:jc w:val="both"/>
              <w:rPr>
                <w:rFonts w:asciiTheme="minorHAnsi" w:hAnsiTheme="minorHAnsi" w:cstheme="minorHAnsi"/>
                <w:color w:val="000000"/>
                <w:sz w:val="20"/>
                <w:szCs w:val="20"/>
              </w:rPr>
            </w:pPr>
          </w:p>
          <w:p w14:paraId="034E170D" w14:textId="77777777" w:rsidR="0049009B" w:rsidRPr="009619A1" w:rsidRDefault="0049009B" w:rsidP="0049009B">
            <w:pPr>
              <w:spacing w:line="276" w:lineRule="auto"/>
              <w:jc w:val="both"/>
              <w:rPr>
                <w:rFonts w:asciiTheme="minorHAnsi" w:hAnsiTheme="minorHAnsi" w:cstheme="minorHAnsi"/>
                <w:color w:val="000000"/>
                <w:sz w:val="20"/>
                <w:szCs w:val="20"/>
              </w:rPr>
            </w:pPr>
            <w:r>
              <w:rPr>
                <w:rFonts w:asciiTheme="minorHAnsi" w:hAnsiTheme="minorHAnsi"/>
                <w:color w:val="000000"/>
                <w:sz w:val="20"/>
              </w:rPr>
              <w:t>SDEU dospěl</w:t>
            </w:r>
            <w:r w:rsidR="00460264">
              <w:rPr>
                <w:rFonts w:asciiTheme="minorHAnsi" w:hAnsiTheme="minorHAnsi"/>
                <w:color w:val="000000"/>
                <w:sz w:val="20"/>
              </w:rPr>
              <w:t xml:space="preserve"> k </w:t>
            </w:r>
            <w:r>
              <w:rPr>
                <w:rFonts w:asciiTheme="minorHAnsi" w:hAnsiTheme="minorHAnsi"/>
                <w:color w:val="000000"/>
                <w:sz w:val="20"/>
              </w:rPr>
              <w:t>závěru, že ustanovení sekundárních právních předpisů (konkrétně ustanovení vízového kodexu), vykládaná</w:t>
            </w:r>
            <w:r w:rsidR="00460264">
              <w:rPr>
                <w:rFonts w:asciiTheme="minorHAnsi" w:hAnsiTheme="minorHAnsi"/>
                <w:color w:val="000000"/>
                <w:sz w:val="20"/>
              </w:rPr>
              <w:t xml:space="preserve"> s </w:t>
            </w:r>
            <w:r>
              <w:rPr>
                <w:rFonts w:asciiTheme="minorHAnsi" w:hAnsiTheme="minorHAnsi"/>
                <w:color w:val="000000"/>
                <w:sz w:val="20"/>
              </w:rPr>
              <w:t>ohledem na článek 47 Listiny ukládá členským státům povinnost zaručit</w:t>
            </w:r>
            <w:r w:rsidR="00460264">
              <w:rPr>
                <w:rFonts w:asciiTheme="minorHAnsi" w:hAnsiTheme="minorHAnsi"/>
                <w:color w:val="000000"/>
                <w:sz w:val="20"/>
              </w:rPr>
              <w:t xml:space="preserve"> v </w:t>
            </w:r>
            <w:r>
              <w:rPr>
                <w:rFonts w:asciiTheme="minorHAnsi" w:hAnsiTheme="minorHAnsi"/>
                <w:color w:val="000000"/>
                <w:sz w:val="20"/>
              </w:rPr>
              <w:t>určitém stadiu řízení možnost předložit věc, která se týká pravomocného rozhodnutí</w:t>
            </w:r>
            <w:r w:rsidR="00460264">
              <w:rPr>
                <w:rFonts w:asciiTheme="minorHAnsi" w:hAnsiTheme="minorHAnsi"/>
                <w:color w:val="000000"/>
                <w:sz w:val="20"/>
              </w:rPr>
              <w:t xml:space="preserve"> o </w:t>
            </w:r>
            <w:r>
              <w:rPr>
                <w:rFonts w:asciiTheme="minorHAnsi" w:hAnsiTheme="minorHAnsi"/>
                <w:color w:val="000000"/>
                <w:sz w:val="20"/>
              </w:rPr>
              <w:t>zamítnutí žádosti</w:t>
            </w:r>
            <w:r w:rsidR="00460264">
              <w:rPr>
                <w:rFonts w:asciiTheme="minorHAnsi" w:hAnsiTheme="minorHAnsi"/>
                <w:color w:val="000000"/>
                <w:sz w:val="20"/>
              </w:rPr>
              <w:t xml:space="preserve"> o </w:t>
            </w:r>
            <w:r>
              <w:rPr>
                <w:rFonts w:asciiTheme="minorHAnsi" w:hAnsiTheme="minorHAnsi"/>
                <w:color w:val="000000"/>
                <w:sz w:val="20"/>
              </w:rPr>
              <w:t>udělení víza,</w:t>
            </w:r>
            <w:r w:rsidR="00460264">
              <w:rPr>
                <w:rFonts w:asciiTheme="minorHAnsi" w:hAnsiTheme="minorHAnsi"/>
                <w:color w:val="000000"/>
                <w:sz w:val="20"/>
              </w:rPr>
              <w:t xml:space="preserve"> k </w:t>
            </w:r>
            <w:r>
              <w:rPr>
                <w:rFonts w:asciiTheme="minorHAnsi" w:hAnsiTheme="minorHAnsi"/>
                <w:color w:val="000000"/>
                <w:sz w:val="20"/>
              </w:rPr>
              <w:t>soudu.</w:t>
            </w:r>
          </w:p>
          <w:p w14:paraId="65D71235" w14:textId="77777777" w:rsidR="0049009B" w:rsidRDefault="0049009B" w:rsidP="0049009B">
            <w:pPr>
              <w:jc w:val="both"/>
              <w:rPr>
                <w:rFonts w:ascii="Calibri" w:hAnsi="Calibri"/>
                <w:i/>
                <w:sz w:val="20"/>
              </w:rPr>
            </w:pPr>
            <w:r>
              <w:rPr>
                <w:rFonts w:ascii="Calibri" w:hAnsi="Calibri"/>
                <w:i/>
                <w:sz w:val="20"/>
              </w:rPr>
              <w:t>„36. Ačkoliv je pravda, že vnitrostátní orgány mají při zkoumání žádostí</w:t>
            </w:r>
            <w:r w:rsidR="00460264">
              <w:rPr>
                <w:rFonts w:ascii="Calibri" w:hAnsi="Calibri"/>
                <w:i/>
                <w:sz w:val="20"/>
              </w:rPr>
              <w:t xml:space="preserve"> o </w:t>
            </w:r>
            <w:r>
              <w:rPr>
                <w:rFonts w:ascii="Calibri" w:hAnsi="Calibri"/>
                <w:i/>
                <w:sz w:val="20"/>
              </w:rPr>
              <w:t>víza široký prostor pro uvážení, pokud jde</w:t>
            </w:r>
            <w:r w:rsidR="00460264">
              <w:rPr>
                <w:rFonts w:ascii="Calibri" w:hAnsi="Calibri"/>
                <w:i/>
                <w:sz w:val="20"/>
              </w:rPr>
              <w:t xml:space="preserve"> o </w:t>
            </w:r>
            <w:r>
              <w:rPr>
                <w:rFonts w:ascii="Calibri" w:hAnsi="Calibri"/>
                <w:i/>
                <w:sz w:val="20"/>
              </w:rPr>
              <w:t>podmínky uplatňování důvodů zamítnutí stanovených vízovým kodexem</w:t>
            </w:r>
            <w:r w:rsidR="00460264">
              <w:rPr>
                <w:rFonts w:ascii="Calibri" w:hAnsi="Calibri"/>
                <w:i/>
                <w:sz w:val="20"/>
              </w:rPr>
              <w:t xml:space="preserve"> a </w:t>
            </w:r>
            <w:r>
              <w:rPr>
                <w:rFonts w:ascii="Calibri" w:hAnsi="Calibri"/>
                <w:i/>
                <w:sz w:val="20"/>
              </w:rPr>
              <w:t xml:space="preserve">hodnocení relevantních okolností, nic to nemění na tom, že takový prostor pro uvážení nemá žádný vliv na skutečnost, že tyto orgány přímo uplatňují ustanovení unijního práva. </w:t>
            </w:r>
          </w:p>
          <w:p w14:paraId="06E255D9" w14:textId="77777777" w:rsidR="0048041D" w:rsidRPr="0049009B" w:rsidRDefault="0048041D" w:rsidP="0049009B">
            <w:pPr>
              <w:jc w:val="both"/>
              <w:rPr>
                <w:rFonts w:ascii="Calibri" w:eastAsia="Calibri" w:hAnsi="Calibri"/>
                <w:i/>
                <w:sz w:val="20"/>
                <w:szCs w:val="20"/>
              </w:rPr>
            </w:pPr>
          </w:p>
          <w:p w14:paraId="3404211A" w14:textId="77777777" w:rsidR="0049009B" w:rsidRPr="0049009B" w:rsidRDefault="0049009B" w:rsidP="0049009B">
            <w:pPr>
              <w:jc w:val="both"/>
              <w:rPr>
                <w:rFonts w:ascii="Calibri" w:eastAsia="Calibri" w:hAnsi="Calibri"/>
                <w:i/>
                <w:sz w:val="20"/>
                <w:szCs w:val="20"/>
              </w:rPr>
            </w:pPr>
            <w:r>
              <w:rPr>
                <w:rFonts w:ascii="Calibri" w:hAnsi="Calibri"/>
                <w:i/>
                <w:sz w:val="20"/>
              </w:rPr>
              <w:t>37.</w:t>
            </w:r>
            <w:r w:rsidR="00460264">
              <w:rPr>
                <w:rFonts w:ascii="Calibri" w:hAnsi="Calibri"/>
                <w:i/>
                <w:sz w:val="20"/>
              </w:rPr>
              <w:t xml:space="preserve"> Z </w:t>
            </w:r>
            <w:r>
              <w:rPr>
                <w:rFonts w:ascii="Calibri" w:hAnsi="Calibri"/>
                <w:i/>
                <w:sz w:val="20"/>
              </w:rPr>
              <w:t>toho vyplývá, že se Listina uplatní, pokud členský stát přijímá rozhodnutí</w:t>
            </w:r>
            <w:r w:rsidR="00460264">
              <w:rPr>
                <w:rFonts w:ascii="Calibri" w:hAnsi="Calibri"/>
                <w:i/>
                <w:sz w:val="20"/>
              </w:rPr>
              <w:t xml:space="preserve"> o </w:t>
            </w:r>
            <w:r>
              <w:rPr>
                <w:rFonts w:ascii="Calibri" w:hAnsi="Calibri"/>
                <w:i/>
                <w:sz w:val="20"/>
              </w:rPr>
              <w:t>zamítnutí žádosti</w:t>
            </w:r>
            <w:r w:rsidR="00460264">
              <w:rPr>
                <w:rFonts w:ascii="Calibri" w:hAnsi="Calibri"/>
                <w:i/>
                <w:sz w:val="20"/>
              </w:rPr>
              <w:t xml:space="preserve"> o </w:t>
            </w:r>
            <w:r>
              <w:rPr>
                <w:rFonts w:ascii="Calibri" w:hAnsi="Calibri"/>
                <w:i/>
                <w:sz w:val="20"/>
              </w:rPr>
              <w:t xml:space="preserve">udělení víza podle </w:t>
            </w:r>
            <w:r w:rsidR="00460264">
              <w:rPr>
                <w:rFonts w:ascii="Calibri" w:hAnsi="Calibri"/>
                <w:i/>
                <w:sz w:val="20"/>
              </w:rPr>
              <w:t>čl. </w:t>
            </w:r>
            <w:r>
              <w:rPr>
                <w:rFonts w:ascii="Calibri" w:hAnsi="Calibri"/>
                <w:i/>
                <w:sz w:val="20"/>
              </w:rPr>
              <w:t xml:space="preserve">32 odst. 1. vízového kodexu. </w:t>
            </w:r>
          </w:p>
          <w:p w14:paraId="1D76AFEC" w14:textId="77777777" w:rsidR="0048041D" w:rsidRDefault="0048041D" w:rsidP="0049009B">
            <w:pPr>
              <w:jc w:val="both"/>
              <w:rPr>
                <w:rFonts w:ascii="Calibri" w:hAnsi="Calibri"/>
                <w:i/>
                <w:sz w:val="20"/>
              </w:rPr>
            </w:pPr>
          </w:p>
          <w:p w14:paraId="6D47C387" w14:textId="77777777" w:rsidR="0049009B" w:rsidRPr="0049009B" w:rsidRDefault="0049009B" w:rsidP="0049009B">
            <w:pPr>
              <w:jc w:val="both"/>
              <w:rPr>
                <w:rFonts w:ascii="Calibri" w:eastAsia="Calibri" w:hAnsi="Calibri"/>
                <w:i/>
                <w:sz w:val="20"/>
                <w:szCs w:val="20"/>
              </w:rPr>
            </w:pPr>
            <w:r>
              <w:rPr>
                <w:rFonts w:ascii="Calibri" w:hAnsi="Calibri"/>
                <w:i/>
                <w:sz w:val="20"/>
              </w:rPr>
              <w:t xml:space="preserve">39. Článek 47 druhý pododstavec Listiny stanoví, že každý má právo, aby jeho věc byla projednána </w:t>
            </w:r>
            <w:r>
              <w:rPr>
                <w:rFonts w:ascii="Calibri" w:hAnsi="Calibri"/>
                <w:i/>
                <w:sz w:val="20"/>
              </w:rPr>
              <w:lastRenderedPageBreak/>
              <w:t>nezávislým</w:t>
            </w:r>
            <w:r w:rsidR="00460264">
              <w:rPr>
                <w:rFonts w:ascii="Calibri" w:hAnsi="Calibri"/>
                <w:i/>
                <w:sz w:val="20"/>
              </w:rPr>
              <w:t xml:space="preserve"> a </w:t>
            </w:r>
            <w:r>
              <w:rPr>
                <w:rFonts w:ascii="Calibri" w:hAnsi="Calibri"/>
                <w:i/>
                <w:sz w:val="20"/>
              </w:rPr>
              <w:t>nestranným soudem. Dodržení tohoto práva předpokládá možnost následně podrobit rozhodnutí správního orgánu, který sám nesplňuje podmínky nezávislosti</w:t>
            </w:r>
            <w:r w:rsidR="00460264">
              <w:rPr>
                <w:rFonts w:ascii="Calibri" w:hAnsi="Calibri"/>
                <w:i/>
                <w:sz w:val="20"/>
              </w:rPr>
              <w:t xml:space="preserve"> a </w:t>
            </w:r>
            <w:r>
              <w:rPr>
                <w:rFonts w:ascii="Calibri" w:hAnsi="Calibri"/>
                <w:i/>
                <w:sz w:val="20"/>
              </w:rPr>
              <w:t>nestrannosti, přezkumu soudem, který musí mít mimo jiné pravomoc rozhodovat</w:t>
            </w:r>
            <w:r w:rsidR="00460264">
              <w:rPr>
                <w:rFonts w:ascii="Calibri" w:hAnsi="Calibri"/>
                <w:i/>
                <w:sz w:val="20"/>
              </w:rPr>
              <w:t xml:space="preserve"> o </w:t>
            </w:r>
            <w:r>
              <w:rPr>
                <w:rFonts w:ascii="Calibri" w:hAnsi="Calibri"/>
                <w:i/>
                <w:sz w:val="20"/>
              </w:rPr>
              <w:t xml:space="preserve">všech relevantních otázkách [...] </w:t>
            </w:r>
          </w:p>
          <w:p w14:paraId="7525073A" w14:textId="77777777" w:rsidR="0048041D" w:rsidRDefault="0048041D" w:rsidP="0049009B">
            <w:pPr>
              <w:jc w:val="both"/>
              <w:rPr>
                <w:rFonts w:ascii="Calibri" w:hAnsi="Calibri"/>
                <w:i/>
                <w:sz w:val="20"/>
              </w:rPr>
            </w:pPr>
          </w:p>
          <w:p w14:paraId="28933F92" w14:textId="77777777" w:rsidR="000E1801" w:rsidRPr="0049009B" w:rsidRDefault="0049009B" w:rsidP="0049009B">
            <w:pPr>
              <w:jc w:val="both"/>
              <w:rPr>
                <w:rFonts w:ascii="Calibri" w:eastAsia="Calibri" w:hAnsi="Calibri"/>
                <w:sz w:val="20"/>
                <w:szCs w:val="20"/>
              </w:rPr>
            </w:pPr>
            <w:r>
              <w:rPr>
                <w:rFonts w:ascii="Calibri" w:hAnsi="Calibri"/>
                <w:i/>
                <w:sz w:val="20"/>
              </w:rPr>
              <w:t>41.</w:t>
            </w:r>
            <w:r w:rsidR="00460264">
              <w:rPr>
                <w:rFonts w:ascii="Calibri" w:hAnsi="Calibri"/>
                <w:i/>
                <w:sz w:val="20"/>
              </w:rPr>
              <w:t xml:space="preserve"> Z </w:t>
            </w:r>
            <w:r>
              <w:rPr>
                <w:rFonts w:ascii="Calibri" w:hAnsi="Calibri"/>
                <w:i/>
                <w:sz w:val="20"/>
              </w:rPr>
              <w:t>toho vyplývá, [...] že článek 47 Listiny ukládá členským státům povinnost zaručit</w:t>
            </w:r>
            <w:r w:rsidR="00460264">
              <w:rPr>
                <w:rFonts w:ascii="Calibri" w:hAnsi="Calibri"/>
                <w:i/>
                <w:sz w:val="20"/>
              </w:rPr>
              <w:t xml:space="preserve"> v </w:t>
            </w:r>
            <w:r>
              <w:rPr>
                <w:rFonts w:ascii="Calibri" w:hAnsi="Calibri"/>
                <w:i/>
                <w:sz w:val="20"/>
              </w:rPr>
              <w:t>určitém stadiu řízení možnost předložit věc, která se týká pravomocného rozhodnutí</w:t>
            </w:r>
            <w:r w:rsidR="00460264">
              <w:rPr>
                <w:rFonts w:ascii="Calibri" w:hAnsi="Calibri"/>
                <w:i/>
                <w:sz w:val="20"/>
              </w:rPr>
              <w:t xml:space="preserve"> o </w:t>
            </w:r>
            <w:r>
              <w:rPr>
                <w:rFonts w:ascii="Calibri" w:hAnsi="Calibri"/>
                <w:i/>
                <w:sz w:val="20"/>
              </w:rPr>
              <w:t>zamítnutí žádosti</w:t>
            </w:r>
            <w:r w:rsidR="00460264">
              <w:rPr>
                <w:rFonts w:ascii="Calibri" w:hAnsi="Calibri"/>
                <w:i/>
                <w:sz w:val="20"/>
              </w:rPr>
              <w:t xml:space="preserve"> o </w:t>
            </w:r>
            <w:r>
              <w:rPr>
                <w:rFonts w:ascii="Calibri" w:hAnsi="Calibri"/>
                <w:i/>
                <w:sz w:val="20"/>
              </w:rPr>
              <w:t>udělení víza,</w:t>
            </w:r>
            <w:r w:rsidR="00460264">
              <w:rPr>
                <w:rFonts w:ascii="Calibri" w:hAnsi="Calibri"/>
                <w:i/>
                <w:sz w:val="20"/>
              </w:rPr>
              <w:t xml:space="preserve"> k </w:t>
            </w:r>
            <w:r>
              <w:rPr>
                <w:rFonts w:ascii="Calibri" w:hAnsi="Calibri"/>
                <w:i/>
                <w:sz w:val="20"/>
              </w:rPr>
              <w:t>soudu.“</w:t>
            </w:r>
          </w:p>
        </w:tc>
      </w:tr>
    </w:tbl>
    <w:p w14:paraId="2F45A0E5" w14:textId="77777777" w:rsidR="00505929" w:rsidRPr="007D56D6" w:rsidRDefault="00505929" w:rsidP="00EC2273">
      <w:pPr>
        <w:spacing w:line="276" w:lineRule="auto"/>
        <w:jc w:val="both"/>
        <w:rPr>
          <w:rFonts w:cstheme="minorHAnsi"/>
          <w:color w:val="000000"/>
        </w:rPr>
      </w:pPr>
    </w:p>
    <w:p w14:paraId="1D3A4BC8" w14:textId="77777777" w:rsidR="00505929" w:rsidRPr="00674960" w:rsidRDefault="00505929" w:rsidP="009F7D3D">
      <w:pPr>
        <w:spacing w:after="120" w:line="276" w:lineRule="auto"/>
        <w:jc w:val="both"/>
        <w:rPr>
          <w:rFonts w:cstheme="minorHAnsi"/>
          <w:color w:val="384575"/>
        </w:rPr>
      </w:pPr>
      <w:r w:rsidRPr="00674960">
        <w:rPr>
          <w:color w:val="384575"/>
        </w:rPr>
        <w:t>Pro mnoho členských států to byla praktická výzva, aby se zasadily</w:t>
      </w:r>
      <w:r w:rsidR="00460264" w:rsidRPr="00674960">
        <w:rPr>
          <w:color w:val="384575"/>
        </w:rPr>
        <w:t xml:space="preserve"> o </w:t>
      </w:r>
      <w:r w:rsidRPr="00674960">
        <w:rPr>
          <w:color w:val="384575"/>
        </w:rPr>
        <w:t>změnu svých právních předpisů. Vzhledem</w:t>
      </w:r>
      <w:r w:rsidR="00460264" w:rsidRPr="00674960">
        <w:rPr>
          <w:color w:val="384575"/>
        </w:rPr>
        <w:t xml:space="preserve"> k </w:t>
      </w:r>
      <w:r w:rsidRPr="00674960">
        <w:rPr>
          <w:color w:val="384575"/>
        </w:rPr>
        <w:t>tomu, že problematika krátkodobých víz vydávaných cizincům je prováděním unijního práva, lze na ni použít Listinu, včetně jejího článku 47.</w:t>
      </w:r>
    </w:p>
    <w:p w14:paraId="607A0248" w14:textId="77777777" w:rsidR="00505929" w:rsidRPr="00674960" w:rsidRDefault="00505929" w:rsidP="009F7D3D">
      <w:pPr>
        <w:spacing w:after="120" w:line="276" w:lineRule="auto"/>
        <w:jc w:val="both"/>
        <w:rPr>
          <w:rFonts w:cstheme="minorHAnsi"/>
          <w:color w:val="384575"/>
        </w:rPr>
      </w:pPr>
      <w:r w:rsidRPr="00674960">
        <w:rPr>
          <w:color w:val="384575"/>
        </w:rPr>
        <w:t>To je jen jeden</w:t>
      </w:r>
      <w:r w:rsidR="00460264" w:rsidRPr="00674960">
        <w:rPr>
          <w:color w:val="384575"/>
        </w:rPr>
        <w:t xml:space="preserve"> z </w:t>
      </w:r>
      <w:r w:rsidRPr="00674960">
        <w:rPr>
          <w:color w:val="384575"/>
        </w:rPr>
        <w:t>mnoha praktických přínosů Listiny, který ukazuje, že standardy ochrany EU mohou jít nad rámec toho, co zaručují jiné nástroje</w:t>
      </w:r>
      <w:r w:rsidR="00460264" w:rsidRPr="00674960">
        <w:rPr>
          <w:color w:val="384575"/>
        </w:rPr>
        <w:t xml:space="preserve"> v </w:t>
      </w:r>
      <w:r w:rsidRPr="00674960">
        <w:rPr>
          <w:color w:val="384575"/>
        </w:rPr>
        <w:t>oblasti lidských práv. Například EÚLP zajišťuje právo na spravedlivý proces</w:t>
      </w:r>
      <w:r w:rsidR="00460264" w:rsidRPr="00674960">
        <w:rPr>
          <w:color w:val="384575"/>
        </w:rPr>
        <w:t xml:space="preserve"> a </w:t>
      </w:r>
      <w:r w:rsidRPr="00674960">
        <w:rPr>
          <w:color w:val="384575"/>
        </w:rPr>
        <w:t>přístup</w:t>
      </w:r>
      <w:r w:rsidR="00460264" w:rsidRPr="00674960">
        <w:rPr>
          <w:color w:val="384575"/>
        </w:rPr>
        <w:t xml:space="preserve"> k </w:t>
      </w:r>
      <w:r w:rsidRPr="00674960">
        <w:rPr>
          <w:color w:val="384575"/>
        </w:rPr>
        <w:t>soudu výslovně pouze</w:t>
      </w:r>
      <w:r w:rsidR="00460264" w:rsidRPr="00674960">
        <w:rPr>
          <w:color w:val="384575"/>
        </w:rPr>
        <w:t xml:space="preserve"> v </w:t>
      </w:r>
      <w:r w:rsidRPr="00674960">
        <w:rPr>
          <w:color w:val="384575"/>
        </w:rPr>
        <w:t>případě trestních</w:t>
      </w:r>
      <w:r w:rsidR="00460264" w:rsidRPr="00674960">
        <w:rPr>
          <w:color w:val="384575"/>
        </w:rPr>
        <w:t xml:space="preserve"> a </w:t>
      </w:r>
      <w:r w:rsidRPr="00674960">
        <w:rPr>
          <w:color w:val="384575"/>
        </w:rPr>
        <w:t>občanskoprávních věcí. Nicméně inovativnost Listiny zde nekončí. Listina obsahuje několik nově formulovaných práv, která se</w:t>
      </w:r>
      <w:r w:rsidR="00460264" w:rsidRPr="00674960">
        <w:rPr>
          <w:color w:val="384575"/>
        </w:rPr>
        <w:t xml:space="preserve"> v </w:t>
      </w:r>
      <w:r w:rsidRPr="00674960">
        <w:rPr>
          <w:color w:val="384575"/>
        </w:rPr>
        <w:t>jiných nástrojích</w:t>
      </w:r>
      <w:r w:rsidR="00460264" w:rsidRPr="00674960">
        <w:rPr>
          <w:color w:val="384575"/>
        </w:rPr>
        <w:t xml:space="preserve"> v </w:t>
      </w:r>
      <w:r w:rsidRPr="00674960">
        <w:rPr>
          <w:color w:val="384575"/>
        </w:rPr>
        <w:t>oblasti lidských práv, včetně EÚLP, výslovně nevyskytují. Listina například chrání právo jednotlivce na důstojnost, právo na řádnou správu</w:t>
      </w:r>
      <w:r w:rsidR="00460264" w:rsidRPr="00674960">
        <w:rPr>
          <w:color w:val="384575"/>
        </w:rPr>
        <w:t xml:space="preserve"> a </w:t>
      </w:r>
      <w:r w:rsidRPr="00674960">
        <w:rPr>
          <w:color w:val="384575"/>
        </w:rPr>
        <w:t>zcela unikátně také výslovně hovoří jak</w:t>
      </w:r>
      <w:r w:rsidR="00460264" w:rsidRPr="00674960">
        <w:rPr>
          <w:color w:val="384575"/>
        </w:rPr>
        <w:t xml:space="preserve"> o </w:t>
      </w:r>
      <w:r w:rsidRPr="00674960">
        <w:rPr>
          <w:color w:val="384575"/>
        </w:rPr>
        <w:t>právu na ochranu údajů, tak</w:t>
      </w:r>
      <w:r w:rsidR="00460264" w:rsidRPr="00674960">
        <w:rPr>
          <w:color w:val="384575"/>
        </w:rPr>
        <w:t xml:space="preserve"> o </w:t>
      </w:r>
      <w:r w:rsidRPr="00674960">
        <w:rPr>
          <w:color w:val="384575"/>
        </w:rPr>
        <w:t>právu jednotlivce na azyl.</w:t>
      </w:r>
    </w:p>
    <w:p w14:paraId="43B68110" w14:textId="77777777" w:rsidR="00DF66F8" w:rsidRPr="00674960" w:rsidRDefault="00505929" w:rsidP="009F7D3D">
      <w:pPr>
        <w:spacing w:after="120" w:line="276" w:lineRule="auto"/>
        <w:jc w:val="both"/>
        <w:rPr>
          <w:rFonts w:cstheme="minorHAnsi"/>
          <w:color w:val="384575"/>
        </w:rPr>
      </w:pPr>
      <w:r w:rsidRPr="00674960">
        <w:rPr>
          <w:color w:val="384575"/>
        </w:rPr>
        <w:t>Listina obsahuje celkem 54 článků</w:t>
      </w:r>
      <w:r w:rsidR="00460264" w:rsidRPr="00674960">
        <w:rPr>
          <w:color w:val="384575"/>
        </w:rPr>
        <w:t xml:space="preserve"> s </w:t>
      </w:r>
      <w:r w:rsidRPr="00674960">
        <w:rPr>
          <w:color w:val="384575"/>
        </w:rPr>
        <w:t xml:space="preserve">právy rozdělenými do 7 kapitol. Práva jsou rozdělena do šesti hlavních okruhů: </w:t>
      </w:r>
    </w:p>
    <w:p w14:paraId="4B8214C9" w14:textId="77777777" w:rsidR="00DF66F8" w:rsidRPr="00674960" w:rsidRDefault="00DF66F8" w:rsidP="009F7D3D">
      <w:pPr>
        <w:numPr>
          <w:ilvl w:val="0"/>
          <w:numId w:val="12"/>
        </w:numPr>
        <w:spacing w:after="120" w:line="276" w:lineRule="auto"/>
        <w:jc w:val="both"/>
        <w:rPr>
          <w:rFonts w:cstheme="minorHAnsi"/>
          <w:color w:val="384575"/>
        </w:rPr>
      </w:pPr>
      <w:r w:rsidRPr="00674960">
        <w:rPr>
          <w:color w:val="384575"/>
        </w:rPr>
        <w:t>Důstojnost, včetně práva na lidskou důstojnost, práva na život, práva na nedotknutelnost lidské osobnosti, zákazu mučení</w:t>
      </w:r>
      <w:r w:rsidR="00460264" w:rsidRPr="00674960">
        <w:rPr>
          <w:color w:val="384575"/>
        </w:rPr>
        <w:t xml:space="preserve"> a </w:t>
      </w:r>
      <w:r w:rsidRPr="00674960">
        <w:rPr>
          <w:color w:val="384575"/>
        </w:rPr>
        <w:t>nelidského či ponižujícího zacházení anebo trestu</w:t>
      </w:r>
      <w:r w:rsidR="00460264" w:rsidRPr="00674960">
        <w:rPr>
          <w:color w:val="384575"/>
        </w:rPr>
        <w:t xml:space="preserve"> a </w:t>
      </w:r>
      <w:r w:rsidRPr="00674960">
        <w:rPr>
          <w:color w:val="384575"/>
        </w:rPr>
        <w:t>zákazu otroctví</w:t>
      </w:r>
      <w:r w:rsidR="00460264" w:rsidRPr="00674960">
        <w:rPr>
          <w:color w:val="384575"/>
        </w:rPr>
        <w:t xml:space="preserve"> a </w:t>
      </w:r>
      <w:r w:rsidRPr="00674960">
        <w:rPr>
          <w:color w:val="384575"/>
        </w:rPr>
        <w:t xml:space="preserve">nucené práce. </w:t>
      </w:r>
    </w:p>
    <w:p w14:paraId="586431EB" w14:textId="77777777" w:rsidR="00DF66F8" w:rsidRPr="00674960" w:rsidRDefault="00DF66F8" w:rsidP="009F7D3D">
      <w:pPr>
        <w:numPr>
          <w:ilvl w:val="0"/>
          <w:numId w:val="12"/>
        </w:numPr>
        <w:spacing w:after="120" w:line="276" w:lineRule="auto"/>
        <w:jc w:val="both"/>
        <w:rPr>
          <w:rFonts w:cstheme="minorHAnsi"/>
          <w:color w:val="384575"/>
        </w:rPr>
      </w:pPr>
      <w:r w:rsidRPr="00674960">
        <w:rPr>
          <w:color w:val="384575"/>
        </w:rPr>
        <w:t>Svobody, mezi které patří právo na svobodu</w:t>
      </w:r>
      <w:r w:rsidR="00460264" w:rsidRPr="00674960">
        <w:rPr>
          <w:color w:val="384575"/>
        </w:rPr>
        <w:t xml:space="preserve"> a </w:t>
      </w:r>
      <w:r w:rsidRPr="00674960">
        <w:rPr>
          <w:color w:val="384575"/>
        </w:rPr>
        <w:t>bezpečnost, respektování soukromého</w:t>
      </w:r>
      <w:r w:rsidR="00460264" w:rsidRPr="00674960">
        <w:rPr>
          <w:color w:val="384575"/>
        </w:rPr>
        <w:t xml:space="preserve"> a </w:t>
      </w:r>
      <w:r w:rsidRPr="00674960">
        <w:rPr>
          <w:color w:val="384575"/>
        </w:rPr>
        <w:t>rodinného života, ochrana osobních údajů, právo uzavřít manželství</w:t>
      </w:r>
      <w:r w:rsidR="00460264" w:rsidRPr="00674960">
        <w:rPr>
          <w:color w:val="384575"/>
        </w:rPr>
        <w:t xml:space="preserve"> a </w:t>
      </w:r>
      <w:r w:rsidRPr="00674960">
        <w:rPr>
          <w:color w:val="384575"/>
        </w:rPr>
        <w:t>právo založit rodinu, svoboda myšlení, svědomí</w:t>
      </w:r>
      <w:r w:rsidR="00460264" w:rsidRPr="00674960">
        <w:rPr>
          <w:color w:val="384575"/>
        </w:rPr>
        <w:t xml:space="preserve"> a </w:t>
      </w:r>
      <w:r w:rsidRPr="00674960">
        <w:rPr>
          <w:color w:val="384575"/>
        </w:rPr>
        <w:t>náboženského vyznání, svoboda projevu</w:t>
      </w:r>
      <w:r w:rsidR="00460264" w:rsidRPr="00674960">
        <w:rPr>
          <w:color w:val="384575"/>
        </w:rPr>
        <w:t xml:space="preserve"> a </w:t>
      </w:r>
      <w:r w:rsidRPr="00674960">
        <w:rPr>
          <w:color w:val="384575"/>
        </w:rPr>
        <w:t>informací, svoboda shromažďování</w:t>
      </w:r>
      <w:r w:rsidR="00460264" w:rsidRPr="00674960">
        <w:rPr>
          <w:color w:val="384575"/>
        </w:rPr>
        <w:t xml:space="preserve"> a </w:t>
      </w:r>
      <w:r w:rsidRPr="00674960">
        <w:rPr>
          <w:color w:val="384575"/>
        </w:rPr>
        <w:t>sdružování, svoboda umění</w:t>
      </w:r>
      <w:r w:rsidR="00460264" w:rsidRPr="00674960">
        <w:rPr>
          <w:color w:val="384575"/>
        </w:rPr>
        <w:t xml:space="preserve"> a </w:t>
      </w:r>
      <w:r w:rsidRPr="00674960">
        <w:rPr>
          <w:color w:val="384575"/>
        </w:rPr>
        <w:t>věd, právo na vzdělání, právo svobodné volby povolání</w:t>
      </w:r>
      <w:r w:rsidR="00460264" w:rsidRPr="00674960">
        <w:rPr>
          <w:color w:val="384575"/>
        </w:rPr>
        <w:t xml:space="preserve"> a </w:t>
      </w:r>
      <w:r w:rsidRPr="00674960">
        <w:rPr>
          <w:color w:val="384575"/>
        </w:rPr>
        <w:t>právo pracovat, svoboda podnikání, právo na vlastnictví, právo na azyl</w:t>
      </w:r>
      <w:r w:rsidR="00460264" w:rsidRPr="00674960">
        <w:rPr>
          <w:color w:val="384575"/>
        </w:rPr>
        <w:t xml:space="preserve"> a </w:t>
      </w:r>
      <w:r w:rsidRPr="00674960">
        <w:rPr>
          <w:color w:val="384575"/>
        </w:rPr>
        <w:t>ochrana</w:t>
      </w:r>
      <w:r w:rsidR="00460264" w:rsidRPr="00674960">
        <w:rPr>
          <w:color w:val="384575"/>
        </w:rPr>
        <w:t xml:space="preserve"> v </w:t>
      </w:r>
      <w:r w:rsidRPr="00674960">
        <w:rPr>
          <w:color w:val="384575"/>
        </w:rPr>
        <w:t xml:space="preserve">případě vystěhování, vyhoštění nebo vydání. </w:t>
      </w:r>
    </w:p>
    <w:p w14:paraId="16DBE87A" w14:textId="77777777" w:rsidR="00DF66F8" w:rsidRPr="00674960" w:rsidRDefault="00DF66F8" w:rsidP="009F7D3D">
      <w:pPr>
        <w:numPr>
          <w:ilvl w:val="0"/>
          <w:numId w:val="12"/>
        </w:numPr>
        <w:spacing w:after="120" w:line="276" w:lineRule="auto"/>
        <w:jc w:val="both"/>
        <w:rPr>
          <w:rFonts w:cstheme="minorHAnsi"/>
          <w:color w:val="384575"/>
        </w:rPr>
      </w:pPr>
      <w:r w:rsidRPr="00674960">
        <w:rPr>
          <w:color w:val="384575"/>
        </w:rPr>
        <w:t>Rovnost, která pokrývá práva na rovnost před zákonem, zákaz diskriminace, kulturní, náboženskou</w:t>
      </w:r>
      <w:r w:rsidR="00460264" w:rsidRPr="00674960">
        <w:rPr>
          <w:color w:val="384575"/>
        </w:rPr>
        <w:t xml:space="preserve"> a </w:t>
      </w:r>
      <w:r w:rsidRPr="00674960">
        <w:rPr>
          <w:color w:val="384575"/>
        </w:rPr>
        <w:t>jazykovou rozmanitost, rovnost žen</w:t>
      </w:r>
      <w:r w:rsidR="00460264" w:rsidRPr="00674960">
        <w:rPr>
          <w:color w:val="384575"/>
        </w:rPr>
        <w:t xml:space="preserve"> a </w:t>
      </w:r>
      <w:r w:rsidRPr="00674960">
        <w:rPr>
          <w:color w:val="384575"/>
        </w:rPr>
        <w:t>mužů, práva dítěte, práva starších osob</w:t>
      </w:r>
      <w:r w:rsidR="00460264" w:rsidRPr="00674960">
        <w:rPr>
          <w:color w:val="384575"/>
        </w:rPr>
        <w:t xml:space="preserve"> a </w:t>
      </w:r>
      <w:r w:rsidRPr="00674960">
        <w:rPr>
          <w:color w:val="384575"/>
        </w:rPr>
        <w:t xml:space="preserve">začlenění osob se zdravotním postižením. </w:t>
      </w:r>
    </w:p>
    <w:p w14:paraId="0D725D93" w14:textId="77777777" w:rsidR="00DF66F8" w:rsidRPr="00674960" w:rsidRDefault="00DF66F8" w:rsidP="009F7D3D">
      <w:pPr>
        <w:numPr>
          <w:ilvl w:val="0"/>
          <w:numId w:val="12"/>
        </w:numPr>
        <w:spacing w:after="120" w:line="276" w:lineRule="auto"/>
        <w:jc w:val="both"/>
        <w:rPr>
          <w:rFonts w:cstheme="minorHAnsi"/>
          <w:color w:val="384575"/>
        </w:rPr>
      </w:pPr>
      <w:r w:rsidRPr="00674960">
        <w:rPr>
          <w:color w:val="384575"/>
        </w:rPr>
        <w:t>Solidarita, která zahrnuje právo pracovníka na informování</w:t>
      </w:r>
      <w:r w:rsidR="00460264" w:rsidRPr="00674960">
        <w:rPr>
          <w:color w:val="384575"/>
        </w:rPr>
        <w:t xml:space="preserve"> a </w:t>
      </w:r>
      <w:r w:rsidRPr="00674960">
        <w:rPr>
          <w:color w:val="384575"/>
        </w:rPr>
        <w:t>na projednávání</w:t>
      </w:r>
      <w:r w:rsidR="00460264" w:rsidRPr="00674960">
        <w:rPr>
          <w:color w:val="384575"/>
        </w:rPr>
        <w:t xml:space="preserve"> v </w:t>
      </w:r>
      <w:r w:rsidRPr="00674960">
        <w:rPr>
          <w:color w:val="384575"/>
        </w:rPr>
        <w:t>podniku, právo na kolektivní vyjednávání</w:t>
      </w:r>
      <w:r w:rsidR="00460264" w:rsidRPr="00674960">
        <w:rPr>
          <w:color w:val="384575"/>
        </w:rPr>
        <w:t xml:space="preserve"> a </w:t>
      </w:r>
      <w:r w:rsidRPr="00674960">
        <w:rPr>
          <w:color w:val="384575"/>
        </w:rPr>
        <w:t>akce, právo na přístup ke službám zaměstnanosti, ochranu</w:t>
      </w:r>
      <w:r w:rsidR="00460264" w:rsidRPr="00674960">
        <w:rPr>
          <w:color w:val="384575"/>
        </w:rPr>
        <w:t xml:space="preserve"> v </w:t>
      </w:r>
      <w:r w:rsidRPr="00674960">
        <w:rPr>
          <w:color w:val="384575"/>
        </w:rPr>
        <w:t>případě neoprávněného propuštění, slušné</w:t>
      </w:r>
      <w:r w:rsidR="00460264" w:rsidRPr="00674960">
        <w:rPr>
          <w:color w:val="384575"/>
        </w:rPr>
        <w:t xml:space="preserve"> a </w:t>
      </w:r>
      <w:r w:rsidRPr="00674960">
        <w:rPr>
          <w:color w:val="384575"/>
        </w:rPr>
        <w:t>spravedlivé pracovní podmínky, zákaz dětské práce</w:t>
      </w:r>
      <w:r w:rsidR="00460264" w:rsidRPr="00674960">
        <w:rPr>
          <w:color w:val="384575"/>
        </w:rPr>
        <w:t xml:space="preserve"> a </w:t>
      </w:r>
      <w:r w:rsidRPr="00674960">
        <w:rPr>
          <w:color w:val="384575"/>
        </w:rPr>
        <w:t>ochranu mladých lidí při práci, rodinný</w:t>
      </w:r>
      <w:r w:rsidR="00460264" w:rsidRPr="00674960">
        <w:rPr>
          <w:color w:val="384575"/>
        </w:rPr>
        <w:t xml:space="preserve"> a </w:t>
      </w:r>
      <w:r w:rsidRPr="00674960">
        <w:rPr>
          <w:color w:val="384575"/>
        </w:rPr>
        <w:t>pracovní život, sociální zabezpečení</w:t>
      </w:r>
      <w:r w:rsidR="00460264" w:rsidRPr="00674960">
        <w:rPr>
          <w:color w:val="384575"/>
        </w:rPr>
        <w:t xml:space="preserve"> a </w:t>
      </w:r>
      <w:r w:rsidRPr="00674960">
        <w:rPr>
          <w:color w:val="384575"/>
        </w:rPr>
        <w:t>sociální pomoc, ochranu zdraví, přístup ke službám obecného hospodářského zájmu, ochranu životního prostředí</w:t>
      </w:r>
      <w:r w:rsidR="00460264" w:rsidRPr="00674960">
        <w:rPr>
          <w:color w:val="384575"/>
        </w:rPr>
        <w:t xml:space="preserve"> a </w:t>
      </w:r>
      <w:r w:rsidRPr="00674960">
        <w:rPr>
          <w:color w:val="384575"/>
        </w:rPr>
        <w:t xml:space="preserve">ochranu spotřebitele. </w:t>
      </w:r>
    </w:p>
    <w:p w14:paraId="777C8E4A" w14:textId="77777777" w:rsidR="00DF66F8" w:rsidRPr="00674960" w:rsidRDefault="00DF66F8" w:rsidP="009F7D3D">
      <w:pPr>
        <w:numPr>
          <w:ilvl w:val="0"/>
          <w:numId w:val="12"/>
        </w:numPr>
        <w:spacing w:after="120" w:line="276" w:lineRule="auto"/>
        <w:jc w:val="both"/>
        <w:rPr>
          <w:rFonts w:cstheme="minorHAnsi"/>
          <w:color w:val="384575"/>
        </w:rPr>
      </w:pPr>
      <w:r w:rsidRPr="00674960">
        <w:rPr>
          <w:color w:val="384575"/>
        </w:rPr>
        <w:lastRenderedPageBreak/>
        <w:t>Občanská práva: právo volit</w:t>
      </w:r>
      <w:r w:rsidR="00460264" w:rsidRPr="00674960">
        <w:rPr>
          <w:color w:val="384575"/>
        </w:rPr>
        <w:t xml:space="preserve"> a </w:t>
      </w:r>
      <w:r w:rsidRPr="00674960">
        <w:rPr>
          <w:color w:val="384575"/>
        </w:rPr>
        <w:t>být volen ve volbách do Evropského parlamentu, právo volit</w:t>
      </w:r>
      <w:r w:rsidR="00460264" w:rsidRPr="00674960">
        <w:rPr>
          <w:color w:val="384575"/>
        </w:rPr>
        <w:t xml:space="preserve"> a </w:t>
      </w:r>
      <w:r w:rsidRPr="00674960">
        <w:rPr>
          <w:color w:val="384575"/>
        </w:rPr>
        <w:t>být volen</w:t>
      </w:r>
      <w:r w:rsidR="00460264" w:rsidRPr="00674960">
        <w:rPr>
          <w:color w:val="384575"/>
        </w:rPr>
        <w:t xml:space="preserve"> v </w:t>
      </w:r>
      <w:r w:rsidRPr="00674960">
        <w:rPr>
          <w:color w:val="384575"/>
        </w:rPr>
        <w:t>obecních volbách, právo na řádnou správu, právo na přístup</w:t>
      </w:r>
      <w:r w:rsidR="00460264" w:rsidRPr="00674960">
        <w:rPr>
          <w:color w:val="384575"/>
        </w:rPr>
        <w:t xml:space="preserve"> k </w:t>
      </w:r>
      <w:r w:rsidRPr="00674960">
        <w:rPr>
          <w:color w:val="384575"/>
        </w:rPr>
        <w:t>dokumentům, Evropský veřejný ochránce práv, petiční právo</w:t>
      </w:r>
      <w:r w:rsidR="00460264" w:rsidRPr="00674960">
        <w:rPr>
          <w:color w:val="384575"/>
        </w:rPr>
        <w:t xml:space="preserve"> k </w:t>
      </w:r>
      <w:r w:rsidRPr="00674960">
        <w:rPr>
          <w:color w:val="384575"/>
        </w:rPr>
        <w:t>Evropskému parlamentu, volný pohyb</w:t>
      </w:r>
      <w:r w:rsidR="00460264" w:rsidRPr="00674960">
        <w:rPr>
          <w:color w:val="384575"/>
        </w:rPr>
        <w:t xml:space="preserve"> a </w:t>
      </w:r>
      <w:r w:rsidRPr="00674960">
        <w:rPr>
          <w:color w:val="384575"/>
        </w:rPr>
        <w:t>pobyt, diplomatická</w:t>
      </w:r>
      <w:r w:rsidR="00460264" w:rsidRPr="00674960">
        <w:rPr>
          <w:color w:val="384575"/>
        </w:rPr>
        <w:t xml:space="preserve"> a </w:t>
      </w:r>
      <w:r w:rsidRPr="00674960">
        <w:rPr>
          <w:color w:val="384575"/>
        </w:rPr>
        <w:t xml:space="preserve">konzulární ochrana. </w:t>
      </w:r>
    </w:p>
    <w:p w14:paraId="006BAE70" w14:textId="77777777" w:rsidR="00DF66F8" w:rsidRPr="00674960" w:rsidRDefault="00DF66F8" w:rsidP="009F7D3D">
      <w:pPr>
        <w:numPr>
          <w:ilvl w:val="0"/>
          <w:numId w:val="12"/>
        </w:numPr>
        <w:spacing w:after="120" w:line="276" w:lineRule="auto"/>
        <w:jc w:val="both"/>
        <w:rPr>
          <w:rFonts w:cstheme="minorHAnsi"/>
          <w:color w:val="384575"/>
        </w:rPr>
      </w:pPr>
      <w:r w:rsidRPr="00674960">
        <w:rPr>
          <w:color w:val="384575"/>
        </w:rPr>
        <w:t>Soudnictví,</w:t>
      </w:r>
      <w:r w:rsidR="00460264" w:rsidRPr="00674960">
        <w:rPr>
          <w:color w:val="384575"/>
        </w:rPr>
        <w:t xml:space="preserve"> v </w:t>
      </w:r>
      <w:proofErr w:type="gramStart"/>
      <w:r w:rsidRPr="00674960">
        <w:rPr>
          <w:color w:val="384575"/>
        </w:rPr>
        <w:t>rámci</w:t>
      </w:r>
      <w:proofErr w:type="gramEnd"/>
      <w:r w:rsidRPr="00674960">
        <w:rPr>
          <w:color w:val="384575"/>
        </w:rPr>
        <w:t xml:space="preserve"> kterého je přiznáno právo na účinnou právní ochranu</w:t>
      </w:r>
      <w:r w:rsidR="00460264" w:rsidRPr="00674960">
        <w:rPr>
          <w:color w:val="384575"/>
        </w:rPr>
        <w:t xml:space="preserve"> a </w:t>
      </w:r>
      <w:r w:rsidRPr="00674960">
        <w:rPr>
          <w:color w:val="384575"/>
        </w:rPr>
        <w:t>spravedlivý proces, presumpce neviny</w:t>
      </w:r>
      <w:r w:rsidR="00460264" w:rsidRPr="00674960">
        <w:rPr>
          <w:color w:val="384575"/>
        </w:rPr>
        <w:t xml:space="preserve"> a </w:t>
      </w:r>
      <w:r w:rsidRPr="00674960">
        <w:rPr>
          <w:color w:val="384575"/>
        </w:rPr>
        <w:t>právo na obhajobu, zásady zákonnosti</w:t>
      </w:r>
      <w:r w:rsidR="00460264" w:rsidRPr="00674960">
        <w:rPr>
          <w:color w:val="384575"/>
        </w:rPr>
        <w:t xml:space="preserve"> a </w:t>
      </w:r>
      <w:r w:rsidRPr="00674960">
        <w:rPr>
          <w:color w:val="384575"/>
        </w:rPr>
        <w:t>přiměřenosti trestných činů</w:t>
      </w:r>
      <w:r w:rsidR="00460264" w:rsidRPr="00674960">
        <w:rPr>
          <w:color w:val="384575"/>
        </w:rPr>
        <w:t xml:space="preserve"> a </w:t>
      </w:r>
      <w:r w:rsidRPr="00674960">
        <w:rPr>
          <w:color w:val="384575"/>
        </w:rPr>
        <w:t>trestů</w:t>
      </w:r>
      <w:r w:rsidR="00460264" w:rsidRPr="00674960">
        <w:rPr>
          <w:color w:val="384575"/>
        </w:rPr>
        <w:t xml:space="preserve"> a </w:t>
      </w:r>
      <w:r w:rsidRPr="00674960">
        <w:rPr>
          <w:color w:val="384575"/>
        </w:rPr>
        <w:t xml:space="preserve">právo nebýt dvakrát trestně stíhán nebo trestán za stejný trestný čin. </w:t>
      </w:r>
    </w:p>
    <w:p w14:paraId="3E0FB469" w14:textId="77777777" w:rsidR="00DF66F8" w:rsidRPr="00674960" w:rsidRDefault="00DF66F8" w:rsidP="009F7D3D">
      <w:pPr>
        <w:spacing w:after="120" w:line="276" w:lineRule="auto"/>
        <w:jc w:val="both"/>
        <w:rPr>
          <w:rFonts w:cstheme="minorHAnsi"/>
          <w:color w:val="384575"/>
        </w:rPr>
      </w:pPr>
      <w:r w:rsidRPr="00674960">
        <w:rPr>
          <w:color w:val="384575"/>
        </w:rPr>
        <w:t>Na základě uznání těchto základních práv</w:t>
      </w:r>
      <w:r w:rsidR="00460264" w:rsidRPr="00674960">
        <w:rPr>
          <w:color w:val="384575"/>
        </w:rPr>
        <w:t xml:space="preserve"> v </w:t>
      </w:r>
      <w:r w:rsidRPr="00674960">
        <w:rPr>
          <w:color w:val="384575"/>
        </w:rPr>
        <w:t>Listině může být každé</w:t>
      </w:r>
      <w:r w:rsidR="00460264" w:rsidRPr="00674960">
        <w:rPr>
          <w:color w:val="384575"/>
        </w:rPr>
        <w:t xml:space="preserve"> z </w:t>
      </w:r>
      <w:r w:rsidRPr="00674960">
        <w:rPr>
          <w:color w:val="384575"/>
        </w:rPr>
        <w:t>nich předmětem legislativní úpravy, která upřesní jeho obsah</w:t>
      </w:r>
      <w:r w:rsidR="00460264" w:rsidRPr="00674960">
        <w:rPr>
          <w:color w:val="384575"/>
        </w:rPr>
        <w:t xml:space="preserve"> a </w:t>
      </w:r>
      <w:r w:rsidRPr="00674960">
        <w:rPr>
          <w:color w:val="384575"/>
        </w:rPr>
        <w:t>rozsah. Několik základních práv uvedených</w:t>
      </w:r>
      <w:r w:rsidR="00460264" w:rsidRPr="00674960">
        <w:rPr>
          <w:color w:val="384575"/>
        </w:rPr>
        <w:t xml:space="preserve"> v </w:t>
      </w:r>
      <w:r w:rsidRPr="00674960">
        <w:rPr>
          <w:color w:val="384575"/>
        </w:rPr>
        <w:t>Listině se vztahuje pouze na občany EU, zejména: právo pracovat</w:t>
      </w:r>
      <w:r w:rsidR="00460264" w:rsidRPr="00674960">
        <w:rPr>
          <w:color w:val="384575"/>
        </w:rPr>
        <w:t xml:space="preserve"> a </w:t>
      </w:r>
      <w:r w:rsidRPr="00674960">
        <w:rPr>
          <w:color w:val="384575"/>
        </w:rPr>
        <w:t>právo svobodné volby povolání (</w:t>
      </w:r>
      <w:r w:rsidR="00460264" w:rsidRPr="00674960">
        <w:rPr>
          <w:color w:val="384575"/>
        </w:rPr>
        <w:t>čl. </w:t>
      </w:r>
      <w:r w:rsidRPr="00674960">
        <w:rPr>
          <w:color w:val="384575"/>
        </w:rPr>
        <w:t>15 odst. 1) nebo svoboda podnikání (</w:t>
      </w:r>
      <w:r w:rsidR="00460264" w:rsidRPr="00674960">
        <w:rPr>
          <w:color w:val="384575"/>
        </w:rPr>
        <w:t>čl. </w:t>
      </w:r>
      <w:r w:rsidRPr="00674960">
        <w:rPr>
          <w:color w:val="384575"/>
        </w:rPr>
        <w:t>16).</w:t>
      </w:r>
    </w:p>
    <w:p w14:paraId="7B89030C" w14:textId="77777777" w:rsidR="00505929" w:rsidRPr="00674960" w:rsidRDefault="00505929" w:rsidP="009F7D3D">
      <w:pPr>
        <w:spacing w:after="120" w:line="276" w:lineRule="auto"/>
        <w:jc w:val="both"/>
        <w:rPr>
          <w:rFonts w:cstheme="minorHAnsi"/>
          <w:color w:val="384575"/>
        </w:rPr>
      </w:pPr>
      <w:r w:rsidRPr="00674960">
        <w:rPr>
          <w:color w:val="384575"/>
        </w:rPr>
        <w:t>Sedmá kapitola je mnohými vnímána jako nejvýznamnější: její čtyři články stanoví pravidla výkladu</w:t>
      </w:r>
      <w:r w:rsidR="00460264" w:rsidRPr="00674960">
        <w:rPr>
          <w:color w:val="384575"/>
        </w:rPr>
        <w:t xml:space="preserve"> a </w:t>
      </w:r>
      <w:r w:rsidRPr="00674960">
        <w:rPr>
          <w:color w:val="384575"/>
        </w:rPr>
        <w:t>použití práv uvedených</w:t>
      </w:r>
      <w:r w:rsidR="00460264" w:rsidRPr="00674960">
        <w:rPr>
          <w:color w:val="384575"/>
        </w:rPr>
        <w:t xml:space="preserve"> v </w:t>
      </w:r>
      <w:r w:rsidRPr="00674960">
        <w:rPr>
          <w:color w:val="384575"/>
        </w:rPr>
        <w:t>Listině. Jak bude podrobně vysvětleno níže, podle článku 51 se Listina použije pouze</w:t>
      </w:r>
      <w:r w:rsidR="00460264" w:rsidRPr="00674960">
        <w:rPr>
          <w:color w:val="384575"/>
        </w:rPr>
        <w:t xml:space="preserve"> v </w:t>
      </w:r>
      <w:r w:rsidRPr="00674960">
        <w:rPr>
          <w:color w:val="384575"/>
        </w:rPr>
        <w:t>situacích, kdy je uplatňováno unijní právo; stejné ustanovení rovněž opakuje, že Listina nevytváří žádné nové pravomoci Unie. Článek 52 Listiny dále připomíná zásady zákonnosti</w:t>
      </w:r>
      <w:r w:rsidR="00460264" w:rsidRPr="00674960">
        <w:rPr>
          <w:color w:val="384575"/>
        </w:rPr>
        <w:t xml:space="preserve"> a </w:t>
      </w:r>
      <w:r w:rsidRPr="00674960">
        <w:rPr>
          <w:color w:val="384575"/>
        </w:rPr>
        <w:t>přiměřenosti. Totéž ustanovení odkazuje na EÚLP</w:t>
      </w:r>
      <w:r w:rsidR="00460264" w:rsidRPr="00674960">
        <w:rPr>
          <w:color w:val="384575"/>
        </w:rPr>
        <w:t xml:space="preserve"> a </w:t>
      </w:r>
      <w:r w:rsidRPr="00674960">
        <w:rPr>
          <w:color w:val="384575"/>
        </w:rPr>
        <w:t>uvádí, že ochrana poskytovaná Listinou nesmí být nižší než standard zakotvený</w:t>
      </w:r>
      <w:r w:rsidR="00460264" w:rsidRPr="00674960">
        <w:rPr>
          <w:color w:val="384575"/>
        </w:rPr>
        <w:t xml:space="preserve"> v </w:t>
      </w:r>
      <w:r w:rsidRPr="00674960">
        <w:rPr>
          <w:color w:val="384575"/>
        </w:rPr>
        <w:t>EÚLP. Nic však</w:t>
      </w:r>
      <w:r w:rsidR="00460264" w:rsidRPr="00674960">
        <w:rPr>
          <w:color w:val="384575"/>
        </w:rPr>
        <w:t xml:space="preserve"> v </w:t>
      </w:r>
      <w:r w:rsidRPr="00674960">
        <w:rPr>
          <w:color w:val="384575"/>
        </w:rPr>
        <w:t>Listině nebrání tomu, aby tento standard byl ještě vyšší.</w:t>
      </w:r>
    </w:p>
    <w:p w14:paraId="5246E609" w14:textId="77777777" w:rsidR="00EC2273" w:rsidRPr="001E6D6E" w:rsidRDefault="00EC2273" w:rsidP="00EC2273">
      <w:pPr>
        <w:spacing w:line="276" w:lineRule="auto"/>
        <w:jc w:val="both"/>
        <w:rPr>
          <w:rFonts w:cstheme="minorHAnsi"/>
          <w:lang w:val="en-US"/>
        </w:rPr>
      </w:pPr>
    </w:p>
    <w:p w14:paraId="04F3B8B8" w14:textId="77777777" w:rsidR="00A3435D" w:rsidRPr="00C61069" w:rsidRDefault="0048041D" w:rsidP="00C61069">
      <w:pPr>
        <w:pStyle w:val="Odstavecseseznamem"/>
        <w:numPr>
          <w:ilvl w:val="1"/>
          <w:numId w:val="1"/>
        </w:numPr>
        <w:spacing w:after="120" w:line="276" w:lineRule="auto"/>
        <w:ind w:left="567" w:hanging="567"/>
        <w:contextualSpacing w:val="0"/>
        <w:jc w:val="both"/>
        <w:rPr>
          <w:b/>
          <w:color w:val="B6A04C"/>
          <w:sz w:val="32"/>
          <w:szCs w:val="32"/>
        </w:rPr>
      </w:pPr>
      <w:r w:rsidRPr="00C61069">
        <w:rPr>
          <w:b/>
          <w:color w:val="B6A04C"/>
          <w:sz w:val="32"/>
          <w:szCs w:val="32"/>
        </w:rPr>
        <w:tab/>
      </w:r>
      <w:r w:rsidR="00505929" w:rsidRPr="00C61069">
        <w:rPr>
          <w:b/>
          <w:color w:val="B6A04C"/>
          <w:sz w:val="32"/>
          <w:szCs w:val="32"/>
        </w:rPr>
        <w:t>Postavení Listiny</w:t>
      </w:r>
      <w:r w:rsidR="00460264" w:rsidRPr="00C61069">
        <w:rPr>
          <w:b/>
          <w:color w:val="B6A04C"/>
          <w:sz w:val="32"/>
          <w:szCs w:val="32"/>
        </w:rPr>
        <w:t xml:space="preserve"> v </w:t>
      </w:r>
      <w:r w:rsidR="00505929" w:rsidRPr="00C61069">
        <w:rPr>
          <w:b/>
          <w:color w:val="B6A04C"/>
          <w:sz w:val="32"/>
          <w:szCs w:val="32"/>
        </w:rPr>
        <w:t>unijním právu</w:t>
      </w:r>
    </w:p>
    <w:p w14:paraId="15022F55" w14:textId="77777777" w:rsidR="00EC2273" w:rsidRPr="00674960" w:rsidRDefault="00000000" w:rsidP="00EC1B7F">
      <w:pPr>
        <w:spacing w:after="120" w:line="276" w:lineRule="auto"/>
        <w:jc w:val="both"/>
        <w:rPr>
          <w:rFonts w:cstheme="minorHAnsi"/>
          <w:color w:val="384575"/>
        </w:rPr>
      </w:pPr>
      <w:r w:rsidRPr="00674960">
        <w:rPr>
          <w:color w:val="384575"/>
        </w:rPr>
        <w:pict w14:anchorId="3017DEE1">
          <v:rect id="_x0000_s1028" style="position:absolute;left:0;text-align:left;margin-left:290.95pt;margin-top:36.25pt;width:134.05pt;height:2in;z-index:251658240;visibility:visible;mso-wrap-distance-left:36pt;mso-wrap-distance-right:9.35pt;mso-position-horizontal-relative:margin;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PR8oNgIAAI4EAAAOAAAAZHJzL2Uyb0RvYy54bWysVNuO0zAQfUfiHyy/s0m6LVuipqtVV4uQ&#10;lotY+ADXcS7geMzYbVK+nrGTZiuQeEC8RB6Pz5nbmWxuh06zo0LXgil4dpVypoyEsjV1wb9+eXi1&#10;5sx5YUqhwaiCn5Tjt9uXLza9zdUCGtClQkYkxuW9LXjjvc2TxMlGdcJdgVWGnBVgJzyZWCclip7Y&#10;O50s0vR10gOWFkEq5+j2fnTybeSvKiX9x6pyyjNdcMrNxy/G7z58k+1G5DUK27RySkP8QxadaA0F&#10;nanuhRfsgO0fVF0rERxU/kpCl0BVtVLFGqiaLP2tmqdGWBVroeY4O7fJ/T9a+eH4ZD9hSN3ZR5Df&#10;HTOwa4Sp1R0i9I0SJYXLQqOS3rp8BgTDEZTt+/dQ0mjFwUPswVBhFwipOjbEVp/mVqvBM0mX2U26&#10;WF6vOJPky9aL9TqNw0hEfoZbdP6tgo6FQ8GRZhnpxfHR+ZCOyM9PQjQDD63WcZ7asJ5YV+ubVUTM&#10;LoJoMxUScg8yoSr8SatAoc1nVbG2jEnHlkis9zuNbFQMSZo0dNZNJCNAeFhR6Bmbpel1jBtVrAL+&#10;KEh/2o9tnJ8HpIoinbHpBPx73BkUY4PxM74T3wDnYU2VhSL9sB+otIIvgjfc7KE80fgQxqWgJaZD&#10;A/iTs54WouDux0Gg4ky/MySBN9lyGTbo0sBLY39pCCOJquCes/G482MPDxbbuqFI2TSaO5JN1caB&#10;Pmc1zYhEH+c8LWjYqks7vnr+jWx/AQAA//8DAFBLAwQUAAYACAAAACEAQHYcNOUAAAAPAQAADwAA&#10;AGRycy9kb3ducmV2LnhtbEyPzU7DMBCE70i8g7VI3KidopQ0jVMhEBfUAw0FrpvYJCn+iWKnDW/P&#10;coLLSqudmZ2v2M7WsJMeQ++dhGQhgGnXeNW7VsLh9ekmAxYiOoXGOy3hWwfYlpcXBebKn91en6rY&#10;MgpxIUcJXYxDznloOm0xLPygHd0+/Wgx0jq2XI14pnBr+FKIFbfYO/rQ4aAfOt18VZOVgG8vVXv8&#10;WB9NvZueuep3yfshSHl9NT9uaNxvgEU9xz8H/DJQfyipWO0npwIzEtIsWZNUwt0yBUaCLBVEWEu4&#10;XYkUeFnw/xzlDwAAAP//AwBQSwECLQAUAAYACAAAACEAtoM4kv4AAADhAQAAEwAAAAAAAAAAAAAA&#10;AAAAAAAAW0NvbnRlbnRfVHlwZXNdLnhtbFBLAQItABQABgAIAAAAIQA4/SH/1gAAAJQBAAALAAAA&#10;AAAAAAAAAAAAAC8BAABfcmVscy8ucmVsc1BLAQItABQABgAIAAAAIQBSPR8oNgIAAI4EAAAOAAAA&#10;AAAAAAAAAAAAAC4CAABkcnMvZTJvRG9jLnhtbFBLAQItABQABgAIAAAAIQBAdhw05QAAAA8BAAAP&#10;AAAAAAAAAAAAAAAAAJAEAABkcnMvZG93bnJldi54bWxQSwUGAAAAAAQABADzAAAAogUAAAAAQUFB&#10;QUFBQUFBQUFBSkFFQUFCa2N=&#10;" o:allowincell="f" filled="f" stroked="f" strokeweight="1.25pt">
            <v:textbox inset=",7.2pt,,7.2pt">
              <w:txbxContent>
                <w:p w14:paraId="357D286C" w14:textId="77777777" w:rsidR="0048041D" w:rsidRPr="00D1320E" w:rsidRDefault="0048041D" w:rsidP="00D1320E">
                  <w:pPr>
                    <w:pBdr>
                      <w:left w:val="single" w:sz="4" w:space="9" w:color="4472C4" w:themeColor="accent1"/>
                    </w:pBdr>
                    <w:jc w:val="both"/>
                    <w:rPr>
                      <w:rFonts w:asciiTheme="majorHAnsi" w:eastAsiaTheme="majorEastAsia" w:hAnsiTheme="majorHAnsi" w:cstheme="majorBidi"/>
                      <w:color w:val="2F5496" w:themeColor="accent1" w:themeShade="BF"/>
                      <w:sz w:val="36"/>
                      <w:szCs w:val="36"/>
                    </w:rPr>
                  </w:pPr>
                  <w:r>
                    <w:rPr>
                      <w:rFonts w:asciiTheme="majorHAnsi" w:hAnsiTheme="majorHAnsi"/>
                      <w:color w:val="2F5496" w:themeColor="accent1" w:themeShade="BF"/>
                      <w:sz w:val="36"/>
                    </w:rPr>
                    <w:t>Článek 13 SEU</w:t>
                  </w:r>
                </w:p>
                <w:p w14:paraId="1D849067" w14:textId="77777777" w:rsidR="0048041D" w:rsidRPr="00613606" w:rsidRDefault="0048041D" w:rsidP="00D1320E">
                  <w:pPr>
                    <w:pBdr>
                      <w:left w:val="single" w:sz="4" w:space="9" w:color="4472C4" w:themeColor="accent1"/>
                    </w:pBdr>
                    <w:jc w:val="both"/>
                    <w:rPr>
                      <w:color w:val="2F5496" w:themeColor="accent1" w:themeShade="BF"/>
                      <w:sz w:val="20"/>
                      <w:szCs w:val="20"/>
                    </w:rPr>
                  </w:pPr>
                  <w:r>
                    <w:rPr>
                      <w:color w:val="2F5496" w:themeColor="accent1" w:themeShade="BF"/>
                    </w:rPr>
                    <w:t>Orgány Unie jsou: Evropský parlament, Evropská rada, Rada, Evropská komise, Soudní dvůr Evropské unie, Evropská centrální banka a Účetní dvůr.</w:t>
                  </w:r>
                </w:p>
              </w:txbxContent>
            </v:textbox>
            <w10:wrap type="square" anchorx="margin"/>
          </v:rect>
        </w:pict>
      </w:r>
      <w:r w:rsidR="00613606" w:rsidRPr="00674960">
        <w:rPr>
          <w:color w:val="384575"/>
        </w:rPr>
        <w:t>Pokud jde</w:t>
      </w:r>
      <w:r w:rsidR="00460264" w:rsidRPr="00674960">
        <w:rPr>
          <w:color w:val="384575"/>
        </w:rPr>
        <w:t xml:space="preserve"> o </w:t>
      </w:r>
      <w:r w:rsidR="00613606" w:rsidRPr="00674960">
        <w:rPr>
          <w:color w:val="384575"/>
        </w:rPr>
        <w:t>oblast použití, článek 51 Listiny stanoví, že orgány</w:t>
      </w:r>
      <w:r w:rsidR="00460264" w:rsidRPr="00674960">
        <w:rPr>
          <w:color w:val="384575"/>
        </w:rPr>
        <w:t xml:space="preserve"> a </w:t>
      </w:r>
      <w:r w:rsidR="00613606" w:rsidRPr="00674960">
        <w:rPr>
          <w:color w:val="384575"/>
        </w:rPr>
        <w:t>jiné subjekty Unie, jakož</w:t>
      </w:r>
      <w:r w:rsidR="00460264" w:rsidRPr="00674960">
        <w:rPr>
          <w:color w:val="384575"/>
        </w:rPr>
        <w:t xml:space="preserve"> i </w:t>
      </w:r>
      <w:r w:rsidR="00613606" w:rsidRPr="00674960">
        <w:rPr>
          <w:color w:val="384575"/>
        </w:rPr>
        <w:t>členské státy jsou Listinou vázány pouze tehdy, pokud uplatňují unijní právo. Totéž ustanovení zdůrazňuje, že Listina nerozšiřuje pravomoci</w:t>
      </w:r>
      <w:r w:rsidR="00460264" w:rsidRPr="00674960">
        <w:rPr>
          <w:color w:val="384575"/>
        </w:rPr>
        <w:t xml:space="preserve"> a </w:t>
      </w:r>
      <w:r w:rsidR="00613606" w:rsidRPr="00674960">
        <w:rPr>
          <w:color w:val="384575"/>
        </w:rPr>
        <w:t xml:space="preserve">poslání svěřené smlouvami. </w:t>
      </w:r>
    </w:p>
    <w:p w14:paraId="0FDE841B" w14:textId="77777777" w:rsidR="00974680" w:rsidRPr="00674960" w:rsidRDefault="00974680" w:rsidP="00EC1B7F">
      <w:pPr>
        <w:spacing w:after="120" w:line="276" w:lineRule="auto"/>
        <w:jc w:val="both"/>
        <w:rPr>
          <w:rFonts w:cstheme="minorHAnsi"/>
          <w:color w:val="384575"/>
        </w:rPr>
      </w:pPr>
      <w:r w:rsidRPr="00674960">
        <w:rPr>
          <w:color w:val="384575"/>
        </w:rPr>
        <w:t xml:space="preserve">Podle </w:t>
      </w:r>
      <w:r w:rsidR="00460264" w:rsidRPr="00674960">
        <w:rPr>
          <w:color w:val="384575"/>
        </w:rPr>
        <w:t>čl. </w:t>
      </w:r>
      <w:r w:rsidRPr="00674960">
        <w:rPr>
          <w:color w:val="384575"/>
        </w:rPr>
        <w:t>51 odst. 1 je Listina „při dodržení zásady subsidiarity určena orgánům, institucím</w:t>
      </w:r>
      <w:r w:rsidR="00460264" w:rsidRPr="00674960">
        <w:rPr>
          <w:color w:val="384575"/>
        </w:rPr>
        <w:t xml:space="preserve"> a </w:t>
      </w:r>
      <w:r w:rsidRPr="00674960">
        <w:rPr>
          <w:color w:val="384575"/>
        </w:rPr>
        <w:t xml:space="preserve">jiným subjektům Unie“. </w:t>
      </w:r>
      <w:r w:rsidRPr="00674960">
        <w:rPr>
          <w:rStyle w:val="hgkelc"/>
          <w:color w:val="384575"/>
        </w:rPr>
        <w:t>Proto</w:t>
      </w:r>
      <w:r w:rsidRPr="00674960">
        <w:rPr>
          <w:color w:val="384575"/>
        </w:rPr>
        <w:t xml:space="preserve"> jsou mezi adresáty zahrnuty všechny subjekty zřízené Smlouvami nebo sekundárními právními předpisy.</w:t>
      </w:r>
    </w:p>
    <w:p w14:paraId="667ECA6F" w14:textId="77777777" w:rsidR="00D621AF" w:rsidRPr="00674960" w:rsidRDefault="00D621AF" w:rsidP="00EC1B7F">
      <w:pPr>
        <w:spacing w:after="120" w:line="276" w:lineRule="auto"/>
        <w:jc w:val="both"/>
        <w:rPr>
          <w:rFonts w:cstheme="minorHAnsi"/>
          <w:color w:val="384575"/>
        </w:rPr>
      </w:pPr>
      <w:r w:rsidRPr="00674960">
        <w:rPr>
          <w:color w:val="384575"/>
        </w:rPr>
        <w:t>Každodenní praxe</w:t>
      </w:r>
      <w:r w:rsidR="00460264" w:rsidRPr="00674960">
        <w:rPr>
          <w:color w:val="384575"/>
        </w:rPr>
        <w:t xml:space="preserve"> v </w:t>
      </w:r>
      <w:r w:rsidRPr="00674960">
        <w:rPr>
          <w:color w:val="384575"/>
        </w:rPr>
        <w:t>rámci EU nám poskytuje několik příkladů porušování základních práv institucionálním rámcem EU. Například:</w:t>
      </w:r>
    </w:p>
    <w:p w14:paraId="2929013B" w14:textId="77777777" w:rsidR="00D621AF" w:rsidRPr="00674960" w:rsidRDefault="0048041D" w:rsidP="00EC1B7F">
      <w:pPr>
        <w:pStyle w:val="Odstavecseseznamem"/>
        <w:numPr>
          <w:ilvl w:val="0"/>
          <w:numId w:val="41"/>
        </w:numPr>
        <w:spacing w:after="120" w:line="276" w:lineRule="auto"/>
        <w:ind w:left="851" w:hanging="425"/>
        <w:contextualSpacing w:val="0"/>
        <w:jc w:val="both"/>
        <w:rPr>
          <w:rFonts w:cstheme="minorHAnsi"/>
          <w:color w:val="384575"/>
        </w:rPr>
      </w:pPr>
      <w:r w:rsidRPr="00674960">
        <w:rPr>
          <w:color w:val="384575"/>
        </w:rPr>
        <w:t>p</w:t>
      </w:r>
      <w:r w:rsidR="00D621AF" w:rsidRPr="00674960">
        <w:rPr>
          <w:color w:val="384575"/>
        </w:rPr>
        <w:t>řijetí právního aktu (směrnice nebo nařízení), který neposkytuje odpovídající záruky, pokud jde</w:t>
      </w:r>
      <w:r w:rsidR="00460264" w:rsidRPr="00674960">
        <w:rPr>
          <w:color w:val="384575"/>
        </w:rPr>
        <w:t xml:space="preserve"> o </w:t>
      </w:r>
      <w:r w:rsidR="00D621AF" w:rsidRPr="00674960">
        <w:rPr>
          <w:color w:val="384575"/>
        </w:rPr>
        <w:t>zacházení</w:t>
      </w:r>
      <w:r w:rsidR="00460264" w:rsidRPr="00674960">
        <w:rPr>
          <w:color w:val="384575"/>
        </w:rPr>
        <w:t xml:space="preserve"> s </w:t>
      </w:r>
      <w:r w:rsidR="00D621AF" w:rsidRPr="00674960">
        <w:rPr>
          <w:color w:val="384575"/>
        </w:rPr>
        <w:t>osobními údaji</w:t>
      </w:r>
      <w:r w:rsidRPr="00674960">
        <w:rPr>
          <w:color w:val="384575"/>
        </w:rPr>
        <w:t>,</w:t>
      </w:r>
    </w:p>
    <w:p w14:paraId="25210668" w14:textId="77777777" w:rsidR="00D621AF" w:rsidRPr="00674960" w:rsidRDefault="0048041D" w:rsidP="00EC1B7F">
      <w:pPr>
        <w:pStyle w:val="Odstavecseseznamem"/>
        <w:numPr>
          <w:ilvl w:val="0"/>
          <w:numId w:val="41"/>
        </w:numPr>
        <w:spacing w:after="120" w:line="276" w:lineRule="auto"/>
        <w:ind w:left="851" w:hanging="425"/>
        <w:contextualSpacing w:val="0"/>
        <w:jc w:val="both"/>
        <w:rPr>
          <w:rFonts w:cstheme="minorHAnsi"/>
          <w:color w:val="384575"/>
        </w:rPr>
      </w:pPr>
      <w:r w:rsidRPr="00674960">
        <w:rPr>
          <w:color w:val="384575"/>
        </w:rPr>
        <w:t>o</w:t>
      </w:r>
      <w:r w:rsidR="00D621AF" w:rsidRPr="00674960">
        <w:rPr>
          <w:color w:val="384575"/>
        </w:rPr>
        <w:t>dmítnutí přístupu</w:t>
      </w:r>
      <w:r w:rsidR="00460264" w:rsidRPr="00674960">
        <w:rPr>
          <w:color w:val="384575"/>
        </w:rPr>
        <w:t xml:space="preserve"> k </w:t>
      </w:r>
      <w:r w:rsidR="00D621AF" w:rsidRPr="00674960">
        <w:rPr>
          <w:color w:val="384575"/>
        </w:rPr>
        <w:t>určitým dokumentům</w:t>
      </w:r>
      <w:r w:rsidRPr="00674960">
        <w:rPr>
          <w:color w:val="384575"/>
        </w:rPr>
        <w:t>,</w:t>
      </w:r>
    </w:p>
    <w:p w14:paraId="7EFF92AD" w14:textId="77777777" w:rsidR="00E05B4E" w:rsidRPr="00674960" w:rsidRDefault="0048041D" w:rsidP="00EC1B7F">
      <w:pPr>
        <w:pStyle w:val="Odstavecseseznamem"/>
        <w:numPr>
          <w:ilvl w:val="0"/>
          <w:numId w:val="41"/>
        </w:numPr>
        <w:spacing w:after="120" w:line="276" w:lineRule="auto"/>
        <w:ind w:left="851" w:hanging="425"/>
        <w:contextualSpacing w:val="0"/>
        <w:jc w:val="both"/>
        <w:rPr>
          <w:rFonts w:cstheme="minorHAnsi"/>
          <w:color w:val="384575"/>
        </w:rPr>
      </w:pPr>
      <w:r w:rsidRPr="00674960">
        <w:rPr>
          <w:color w:val="384575"/>
        </w:rPr>
        <w:t>š</w:t>
      </w:r>
      <w:r w:rsidR="00D621AF" w:rsidRPr="00674960">
        <w:rPr>
          <w:color w:val="384575"/>
        </w:rPr>
        <w:t>etření úředníků Komise, jehož cílem je zjistit porušení pravidel hospodářské soutěže, které je však</w:t>
      </w:r>
      <w:r w:rsidR="00460264" w:rsidRPr="00674960">
        <w:rPr>
          <w:color w:val="384575"/>
        </w:rPr>
        <w:t xml:space="preserve"> v </w:t>
      </w:r>
      <w:r w:rsidR="00D621AF" w:rsidRPr="00674960">
        <w:rPr>
          <w:color w:val="384575"/>
        </w:rPr>
        <w:t>rozporu</w:t>
      </w:r>
      <w:r w:rsidR="00460264" w:rsidRPr="00674960">
        <w:rPr>
          <w:color w:val="384575"/>
        </w:rPr>
        <w:t xml:space="preserve"> s </w:t>
      </w:r>
      <w:r w:rsidR="00D621AF" w:rsidRPr="00674960">
        <w:rPr>
          <w:color w:val="384575"/>
        </w:rPr>
        <w:t>právem na respektování soukromého života.</w:t>
      </w:r>
    </w:p>
    <w:p w14:paraId="2DAB0151" w14:textId="77777777" w:rsidR="0047150D" w:rsidRPr="00674960" w:rsidRDefault="00EC2273" w:rsidP="00EC1B7F">
      <w:pPr>
        <w:spacing w:after="120" w:line="276" w:lineRule="auto"/>
        <w:jc w:val="both"/>
        <w:rPr>
          <w:rFonts w:cstheme="minorHAnsi"/>
          <w:color w:val="384575"/>
        </w:rPr>
      </w:pPr>
      <w:r w:rsidRPr="00674960">
        <w:rPr>
          <w:color w:val="384575"/>
        </w:rPr>
        <w:lastRenderedPageBreak/>
        <w:t>Členské státy jsou rovněž povinny dodržovat Listinu, ale pouze „při provádění unijního práva“. Pokud jde</w:t>
      </w:r>
      <w:r w:rsidR="00460264" w:rsidRPr="00674960">
        <w:rPr>
          <w:color w:val="384575"/>
        </w:rPr>
        <w:t xml:space="preserve"> o </w:t>
      </w:r>
      <w:r w:rsidRPr="00674960">
        <w:rPr>
          <w:color w:val="384575"/>
        </w:rPr>
        <w:t>pojem „stát“, je třeba jej chápat</w:t>
      </w:r>
      <w:r w:rsidR="00460264" w:rsidRPr="00674960">
        <w:rPr>
          <w:color w:val="384575"/>
        </w:rPr>
        <w:t xml:space="preserve"> v </w:t>
      </w:r>
      <w:r w:rsidRPr="00674960">
        <w:rPr>
          <w:color w:val="384575"/>
        </w:rPr>
        <w:t>širším smyslu. Proto jsou mezi adresáty zahrnuty jak ústřední orgány, tak regionální nebo místní orgány</w:t>
      </w:r>
      <w:r w:rsidR="00460264" w:rsidRPr="00674960">
        <w:rPr>
          <w:color w:val="384575"/>
        </w:rPr>
        <w:t xml:space="preserve"> a </w:t>
      </w:r>
      <w:r w:rsidRPr="00674960">
        <w:rPr>
          <w:color w:val="384575"/>
        </w:rPr>
        <w:t>subjekty veřejné moci. Listina je rovněž závazná pro členské státy, pokud jednají jako zaměstnavatelé.</w:t>
      </w:r>
    </w:p>
    <w:p w14:paraId="145E4DAE" w14:textId="77777777" w:rsidR="00EC2273" w:rsidRPr="00674960" w:rsidRDefault="002B603D" w:rsidP="00EC1B7F">
      <w:pPr>
        <w:spacing w:after="120" w:line="276" w:lineRule="auto"/>
        <w:jc w:val="both"/>
        <w:rPr>
          <w:rFonts w:cstheme="minorHAnsi"/>
          <w:color w:val="384575"/>
        </w:rPr>
      </w:pPr>
      <w:r w:rsidRPr="00674960">
        <w:rPr>
          <w:color w:val="384575"/>
        </w:rPr>
        <w:t>Vzhledem</w:t>
      </w:r>
      <w:r w:rsidR="00460264" w:rsidRPr="00674960">
        <w:rPr>
          <w:color w:val="384575"/>
        </w:rPr>
        <w:t xml:space="preserve"> k </w:t>
      </w:r>
      <w:r w:rsidRPr="00674960">
        <w:rPr>
          <w:color w:val="384575"/>
        </w:rPr>
        <w:t>této subjektivní působnosti se lze na Listinu odvolat</w:t>
      </w:r>
      <w:r w:rsidR="00460264" w:rsidRPr="00674960">
        <w:rPr>
          <w:color w:val="384575"/>
        </w:rPr>
        <w:t xml:space="preserve"> v </w:t>
      </w:r>
      <w:r w:rsidRPr="00674960">
        <w:rPr>
          <w:color w:val="384575"/>
        </w:rPr>
        <w:t>případě jakéhokoli porušení základních práv vyplývajícího</w:t>
      </w:r>
      <w:r w:rsidR="00460264" w:rsidRPr="00674960">
        <w:rPr>
          <w:color w:val="384575"/>
        </w:rPr>
        <w:t xml:space="preserve"> z </w:t>
      </w:r>
      <w:r w:rsidRPr="00674960">
        <w:rPr>
          <w:color w:val="384575"/>
        </w:rPr>
        <w:t>aktu přijatého orgány, institucemi</w:t>
      </w:r>
      <w:r w:rsidR="00460264" w:rsidRPr="00674960">
        <w:rPr>
          <w:color w:val="384575"/>
        </w:rPr>
        <w:t xml:space="preserve"> a </w:t>
      </w:r>
      <w:r w:rsidRPr="00674960">
        <w:rPr>
          <w:color w:val="384575"/>
        </w:rPr>
        <w:t>jinými subjekty EU.</w:t>
      </w:r>
      <w:r w:rsidR="00460264" w:rsidRPr="00674960">
        <w:rPr>
          <w:color w:val="384575"/>
        </w:rPr>
        <w:t xml:space="preserve"> A </w:t>
      </w:r>
      <w:r w:rsidRPr="00674960">
        <w:rPr>
          <w:color w:val="384575"/>
        </w:rPr>
        <w:t>také jednotlivci se mohou dovolávat ochrany poskytované Listinou</w:t>
      </w:r>
      <w:r w:rsidR="00460264" w:rsidRPr="00674960">
        <w:rPr>
          <w:color w:val="384575"/>
        </w:rPr>
        <w:t xml:space="preserve"> v </w:t>
      </w:r>
      <w:r w:rsidRPr="00674960">
        <w:rPr>
          <w:color w:val="384575"/>
        </w:rPr>
        <w:t>reakci na porušení vyplývající</w:t>
      </w:r>
      <w:r w:rsidR="00460264" w:rsidRPr="00674960">
        <w:rPr>
          <w:color w:val="384575"/>
        </w:rPr>
        <w:t xml:space="preserve"> z </w:t>
      </w:r>
      <w:r w:rsidRPr="00674960">
        <w:rPr>
          <w:color w:val="384575"/>
        </w:rPr>
        <w:t>vnitrostátního aktu provádějícího unijní právo. To znamená, že ochranu poskytovanou Listinou nelze vyvolat pouhým tvrzením, že se daný případ týká porušení základního práva.</w:t>
      </w:r>
    </w:p>
    <w:p w14:paraId="00D6CA1B" w14:textId="77777777" w:rsidR="00EC2273" w:rsidRPr="00674960" w:rsidRDefault="00000000" w:rsidP="00EC1B7F">
      <w:pPr>
        <w:spacing w:after="120" w:line="276" w:lineRule="auto"/>
        <w:jc w:val="both"/>
        <w:rPr>
          <w:rFonts w:cstheme="minorHAnsi"/>
          <w:color w:val="384575"/>
        </w:rPr>
      </w:pPr>
      <w:r w:rsidRPr="00674960">
        <w:rPr>
          <w:color w:val="384575"/>
        </w:rPr>
        <w:pict w14:anchorId="1ECE21A0">
          <v:rect id="_x0000_s1029" style="position:absolute;left:0;text-align:left;margin-left:289.75pt;margin-top:29.4pt;width:135.45pt;height:168.35pt;z-index:251660288;visibility:visible;mso-wrap-distance-left:36pt;mso-wrap-distance-right:9.35pt;mso-position-horizontal-relative:margin;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UM3iNgIAAI4EAAAOAAAAZHJzL2Uyb0RvYy54bWysVNuO0zAQfUfiHyy/0yS7Le1GTVerrhYh&#10;LRex8AGu41zA8Zix26R8/Y7dNFuBxAPiJfJ4fM7czmR9O3SaHRS6FkzBs1nKmTISytbUBf/29eHN&#10;ijPnhSmFBqMKflSO325ev1r3NldX0IAuFTIiMS7vbcEb722eJE42qhNuBlYZclaAnfBkYp2UKHpi&#10;73RylaZvkx6wtAhSOUe39ycn30T+qlLSf6oqpzzTBafcfPxi/O7CN9msRV6jsE0rxzTEP2TRidZQ&#10;0InqXnjB9tj+QdW1EsFB5WcSugSqqpUq1kDVZOlv1Tw1wqpYCzXH2alN7v/Ryo+HJ/sZQ+rOPoL8&#10;4ZiBbSNMre4QoW+UKClcFhqV9NblEyAYjqBs13+AkkYr9h5iD4YKu0BI1bEhtvo4tVoNnkm6zJar&#10;+c1qwZkkX7ZYzldpHEYi8jPcovPvFHQsHAqONMtILw6Pzod0RH5+EqIZeGi1jvPUhvWBdbVcRMTk&#10;Iog2YyEh9yATqsIftQoU2nxRFWvLmHRsicR6t9XIToohSZOGzrqJZAQIDysKPWGzNL2OcaOKVcAf&#10;BOlP+1Mbp+cBqaJIJ2w6Av8edwLF2GD8hO/Ed8BpWGNloUg/7AYqreDXwRtudlAeaXwIp6WgJaZD&#10;A/iLs54WouDu516g4ky/NySBm2w+Dxt0aeClsbs0hJFEVXDP2em49ace7i22dUORsnE0dySbqo0D&#10;fclqnBGJPs55XNCwVZd2fPXyG9k8AwAA//8DAFBLAwQUAAYACAAAACEAj/o1GeIAAAAPAQAADwAA&#10;AGRycy9kb3ducmV2LnhtbEyPQU/DMAyF70j8h8hI3FjCSkvomk4IhMRlQgzEOW1NWmiSKsm67t9j&#10;TnCxbPn5+X3VdrEjmzHEwTsF1ysBDF3ru8EZBe9vT1cSWEzadXr0DhWcMMK2Pj+rdNn5o3vFeZ8M&#10;IxMXS62gT2kqOY9tj1bHlZ/Q0e7TB6sTjcHwLugjmduRr4UouNWDow+9nvChx/Z7f7AKkmjMzuQy&#10;hQy/Pk5+PT/r3YtSlxfL44bK/QZYwiX9XcAvA+WHmoI1/uC6yEYF+V2ekZQaSRwkkLfFDbBGQSYK&#10;Cbyu+H+O+gcAAP//AwBQSwECLQAUAAYACAAAACEAtoM4kv4AAADhAQAAEwAAAAAAAAAAAAAAAAAA&#10;AAAAW0NvbnRlbnRfVHlwZXNdLnhtbFBLAQItABQABgAIAAAAIQA4/SH/1gAAAJQBAAALAAAAAAAA&#10;AAAAAAAAAC8BAABfcmVscy8ucmVsc1BLAQItABQABgAIAAAAIQDnUM3iNgIAAI4EAAAOAAAAAAAA&#10;AAAAAAAAAC4CAABkcnMvZTJvRG9jLnhtbFBLAQItABQABgAIAAAAIQCP+jUZ4gAAAA8BAAAPAAAA&#10;AAAAAAAAAAAAAJAEAABkcnMvZG93bnJldi54bWxQSwUGAAAAAAQABADzAAAAnwUAAAAAQUFBQUFB&#10;QUFBQUFKQUVBQUJrY25=&#10;" o:allowincell="f" filled="f" stroked="f" strokeweight="1.25pt">
            <v:textbox inset=",7.2pt,,7.2pt">
              <w:txbxContent>
                <w:p w14:paraId="1DB8C2C7" w14:textId="77777777" w:rsidR="0048041D" w:rsidRPr="00D45864" w:rsidRDefault="0048041D">
                  <w:pPr>
                    <w:pBdr>
                      <w:left w:val="single" w:sz="4" w:space="9" w:color="4472C4" w:themeColor="accent1"/>
                    </w:pBdr>
                    <w:rPr>
                      <w:rFonts w:asciiTheme="majorHAnsi" w:eastAsiaTheme="majorEastAsia" w:hAnsiTheme="majorHAnsi" w:cstheme="majorBidi"/>
                      <w:color w:val="2F5496" w:themeColor="accent1" w:themeShade="BF"/>
                      <w:sz w:val="36"/>
                      <w:szCs w:val="36"/>
                    </w:rPr>
                  </w:pPr>
                  <w:r>
                    <w:rPr>
                      <w:rFonts w:asciiTheme="majorHAnsi" w:hAnsiTheme="majorHAnsi"/>
                      <w:color w:val="2F5496" w:themeColor="accent1" w:themeShade="BF"/>
                      <w:sz w:val="36"/>
                    </w:rPr>
                    <w:t>„Prahové“ pravidlo</w:t>
                  </w:r>
                </w:p>
                <w:p w14:paraId="54151726" w14:textId="77777777" w:rsidR="0048041D" w:rsidRPr="00B53A2F" w:rsidRDefault="0048041D" w:rsidP="00B53A2F">
                  <w:pPr>
                    <w:pBdr>
                      <w:left w:val="single" w:sz="4" w:space="9" w:color="4472C4" w:themeColor="accent1"/>
                    </w:pBdr>
                    <w:jc w:val="both"/>
                    <w:rPr>
                      <w:color w:val="2F5496" w:themeColor="accent1" w:themeShade="BF"/>
                      <w:sz w:val="20"/>
                      <w:szCs w:val="20"/>
                    </w:rPr>
                  </w:pPr>
                  <w:r>
                    <w:rPr>
                      <w:color w:val="2F5496" w:themeColor="accent1" w:themeShade="BF"/>
                      <w:sz w:val="20"/>
                    </w:rPr>
                    <w:t>Uplatnění Listiny závisí na tom, zda se situace, ve které nebyla dodržena základní práva, řídí unijním právem. Je nezbytné, aby bylo možné identifikovat alespoň jedno konkrétní pravidlo unijního práva.</w:t>
                  </w:r>
                </w:p>
              </w:txbxContent>
            </v:textbox>
            <w10:wrap type="square" anchorx="margin"/>
          </v:rect>
        </w:pict>
      </w:r>
      <w:r w:rsidR="00B53A2F" w:rsidRPr="00674960">
        <w:rPr>
          <w:color w:val="384575"/>
        </w:rPr>
        <w:t>Listiny se lze dovolávat pouze tehdy, pokud se na daný případ vztahuje jiné ustanovení primárního nebo sekundárního unijního práva než ustanovení samotné Listiny. Jinými slovy, musí existovat dostatečná souvislost mezi normou unijního práva</w:t>
      </w:r>
      <w:r w:rsidR="00460264" w:rsidRPr="00674960">
        <w:rPr>
          <w:color w:val="384575"/>
        </w:rPr>
        <w:t xml:space="preserve"> a </w:t>
      </w:r>
      <w:r w:rsidR="00B53A2F" w:rsidRPr="00674960">
        <w:rPr>
          <w:color w:val="384575"/>
        </w:rPr>
        <w:t>vnitrostátními akty nebo ustanoveními, které údajně Listinu porušují.</w:t>
      </w:r>
    </w:p>
    <w:p w14:paraId="4B1422A2" w14:textId="77777777" w:rsidR="00EC2273" w:rsidRPr="00674960" w:rsidRDefault="00EC2273" w:rsidP="00EC1B7F">
      <w:pPr>
        <w:spacing w:after="120" w:line="276" w:lineRule="auto"/>
        <w:jc w:val="both"/>
        <w:rPr>
          <w:rFonts w:cstheme="minorHAnsi"/>
          <w:color w:val="384575"/>
        </w:rPr>
      </w:pPr>
      <w:r w:rsidRPr="00674960">
        <w:rPr>
          <w:color w:val="384575"/>
        </w:rPr>
        <w:t>Listina se vztahuje na vnitrostátní opatření přijatá za účelem plnění povinností vyplývajících</w:t>
      </w:r>
      <w:r w:rsidR="00460264" w:rsidRPr="00674960">
        <w:rPr>
          <w:color w:val="384575"/>
        </w:rPr>
        <w:t xml:space="preserve"> z </w:t>
      </w:r>
      <w:r w:rsidRPr="00674960">
        <w:rPr>
          <w:color w:val="384575"/>
        </w:rPr>
        <w:t>unijního práva, jako jsou směrnice nebo nařízení EU. Vnitrostátní opatření, která byla přijata před vznikem povinnosti vyplývající</w:t>
      </w:r>
      <w:r w:rsidR="00460264" w:rsidRPr="00674960">
        <w:rPr>
          <w:color w:val="384575"/>
        </w:rPr>
        <w:t xml:space="preserve"> z </w:t>
      </w:r>
      <w:r w:rsidRPr="00674960">
        <w:rPr>
          <w:color w:val="384575"/>
        </w:rPr>
        <w:t xml:space="preserve">unijního práva, kterou bylo třeba provést, mohou spadat do oblasti působnosti Listiny. </w:t>
      </w:r>
    </w:p>
    <w:p w14:paraId="5E817CDD" w14:textId="77777777" w:rsidR="00EC2273" w:rsidRPr="00674960" w:rsidRDefault="00D45864" w:rsidP="00EC1B7F">
      <w:pPr>
        <w:spacing w:after="120" w:line="276" w:lineRule="auto"/>
        <w:jc w:val="both"/>
        <w:rPr>
          <w:rFonts w:cstheme="minorHAnsi"/>
          <w:color w:val="384575"/>
        </w:rPr>
      </w:pPr>
      <w:r w:rsidRPr="00674960">
        <w:rPr>
          <w:color w:val="384575"/>
        </w:rPr>
        <w:t xml:space="preserve">Listina podle svého </w:t>
      </w:r>
      <w:r w:rsidR="00460264" w:rsidRPr="00674960">
        <w:rPr>
          <w:color w:val="384575"/>
        </w:rPr>
        <w:t>čl. </w:t>
      </w:r>
      <w:r w:rsidRPr="00674960">
        <w:rPr>
          <w:color w:val="384575"/>
        </w:rPr>
        <w:t>51 odst. 2 nerozšiřuje oblast působnosti práva Unie nad rámec pravomocí Unie, ani nevytváří žádnou novou pravomoc či úkol pro Unii, ani nemění pravomoc</w:t>
      </w:r>
      <w:r w:rsidR="00460264" w:rsidRPr="00674960">
        <w:rPr>
          <w:color w:val="384575"/>
        </w:rPr>
        <w:t xml:space="preserve"> a </w:t>
      </w:r>
      <w:r w:rsidRPr="00674960">
        <w:rPr>
          <w:color w:val="384575"/>
        </w:rPr>
        <w:t>úkoly stanovené ve Smlouvách.</w:t>
      </w:r>
    </w:p>
    <w:p w14:paraId="28A011B0" w14:textId="77777777" w:rsidR="00EC2273" w:rsidRPr="00674960" w:rsidRDefault="00EC2273" w:rsidP="00EC1B7F">
      <w:pPr>
        <w:spacing w:after="120" w:line="276" w:lineRule="auto"/>
        <w:jc w:val="both"/>
        <w:rPr>
          <w:rFonts w:cstheme="minorHAnsi"/>
          <w:color w:val="384575"/>
        </w:rPr>
      </w:pPr>
      <w:r w:rsidRPr="00674960">
        <w:rPr>
          <w:color w:val="384575"/>
        </w:rPr>
        <w:t>Základní práva zaručená</w:t>
      </w:r>
      <w:r w:rsidR="00460264" w:rsidRPr="00674960">
        <w:rPr>
          <w:color w:val="384575"/>
        </w:rPr>
        <w:t xml:space="preserve"> v </w:t>
      </w:r>
      <w:r w:rsidRPr="00674960">
        <w:rPr>
          <w:color w:val="384575"/>
        </w:rPr>
        <w:t>právním řádu Evropské unie jsou použitelná ve všech situacích upravených unijním právem. Pokud ustanovení unijního práva</w:t>
      </w:r>
      <w:r w:rsidR="00460264" w:rsidRPr="00674960">
        <w:rPr>
          <w:color w:val="384575"/>
        </w:rPr>
        <w:t xml:space="preserve"> v </w:t>
      </w:r>
      <w:r w:rsidRPr="00674960">
        <w:rPr>
          <w:color w:val="384575"/>
        </w:rPr>
        <w:t>dotčené oblasti neupravují určitý aspekt dané situace</w:t>
      </w:r>
      <w:r w:rsidR="00460264" w:rsidRPr="00674960">
        <w:rPr>
          <w:color w:val="384575"/>
        </w:rPr>
        <w:t xml:space="preserve"> a </w:t>
      </w:r>
      <w:r w:rsidRPr="00674960">
        <w:rPr>
          <w:color w:val="384575"/>
        </w:rPr>
        <w:t>neukládají členským státům</w:t>
      </w:r>
      <w:r w:rsidR="00460264" w:rsidRPr="00674960">
        <w:rPr>
          <w:color w:val="384575"/>
        </w:rPr>
        <w:t xml:space="preserve"> s </w:t>
      </w:r>
      <w:r w:rsidRPr="00674960">
        <w:rPr>
          <w:color w:val="384575"/>
        </w:rPr>
        <w:t>ohledem na tento aspekt žádnou konkrétní povinnost, vnitrostátní ustanovení přijaté členským státem</w:t>
      </w:r>
      <w:r w:rsidR="00460264" w:rsidRPr="00674960">
        <w:rPr>
          <w:color w:val="384575"/>
        </w:rPr>
        <w:t xml:space="preserve"> k </w:t>
      </w:r>
      <w:r w:rsidRPr="00674960">
        <w:rPr>
          <w:color w:val="384575"/>
        </w:rPr>
        <w:t>tomuto aspektu nespadá do oblasti působnosti Listiny</w:t>
      </w:r>
      <w:r w:rsidR="00460264" w:rsidRPr="00674960">
        <w:rPr>
          <w:color w:val="384575"/>
        </w:rPr>
        <w:t xml:space="preserve"> a </w:t>
      </w:r>
      <w:r w:rsidRPr="00674960">
        <w:rPr>
          <w:color w:val="384575"/>
        </w:rPr>
        <w:t>danou situaci nelze posuzovat</w:t>
      </w:r>
      <w:r w:rsidR="00460264" w:rsidRPr="00674960">
        <w:rPr>
          <w:color w:val="384575"/>
        </w:rPr>
        <w:t xml:space="preserve"> z </w:t>
      </w:r>
      <w:r w:rsidRPr="00674960">
        <w:rPr>
          <w:color w:val="384575"/>
        </w:rPr>
        <w:t>hlediska ustanovení Listiny.</w:t>
      </w:r>
    </w:p>
    <w:p w14:paraId="1FD359E4" w14:textId="77777777" w:rsidR="00537D03" w:rsidRPr="00674960" w:rsidRDefault="00EC2273" w:rsidP="00EC1B7F">
      <w:pPr>
        <w:spacing w:after="120" w:line="276" w:lineRule="auto"/>
        <w:jc w:val="both"/>
        <w:rPr>
          <w:color w:val="384575"/>
        </w:rPr>
      </w:pPr>
      <w:r w:rsidRPr="00674960">
        <w:rPr>
          <w:color w:val="384575"/>
        </w:rPr>
        <w:t>Pojem „situace upravené unijním právem“ vykládá Soudní dvůr poměrně široce, musí však existovat jasná souvislost mezi dotčenou věcí</w:t>
      </w:r>
      <w:r w:rsidR="00460264" w:rsidRPr="00674960">
        <w:rPr>
          <w:color w:val="384575"/>
        </w:rPr>
        <w:t xml:space="preserve"> a </w:t>
      </w:r>
      <w:r w:rsidRPr="00674960">
        <w:rPr>
          <w:color w:val="384575"/>
        </w:rPr>
        <w:t>alespoň jedním ustanovením unijního práva jiným než ustanovením uvedeným</w:t>
      </w:r>
      <w:r w:rsidR="00460264" w:rsidRPr="00674960">
        <w:rPr>
          <w:color w:val="384575"/>
        </w:rPr>
        <w:t xml:space="preserve"> v </w:t>
      </w:r>
      <w:r w:rsidRPr="00674960">
        <w:rPr>
          <w:color w:val="384575"/>
        </w:rPr>
        <w:t>Listině.</w:t>
      </w:r>
    </w:p>
    <w:p w14:paraId="4FC6A74B" w14:textId="77777777" w:rsidR="00F766DC" w:rsidRPr="00674960" w:rsidRDefault="00F766DC" w:rsidP="00EC1B7F">
      <w:pPr>
        <w:spacing w:after="120" w:line="276" w:lineRule="auto"/>
        <w:jc w:val="both"/>
        <w:rPr>
          <w:rFonts w:cstheme="minorHAnsi"/>
          <w:color w:val="384575"/>
        </w:rPr>
      </w:pPr>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E2F3" w:themeFill="accent1" w:themeFillTint="33"/>
        <w:tblLook w:val="04A0" w:firstRow="1" w:lastRow="0" w:firstColumn="1" w:lastColumn="0" w:noHBand="0" w:noVBand="1"/>
      </w:tblPr>
      <w:tblGrid>
        <w:gridCol w:w="8613"/>
      </w:tblGrid>
      <w:tr w:rsidR="00B90012" w14:paraId="526E86FB" w14:textId="77777777" w:rsidTr="0048041D">
        <w:tc>
          <w:tcPr>
            <w:tcW w:w="8613" w:type="dxa"/>
            <w:shd w:val="clear" w:color="auto" w:fill="D9E2F3" w:themeFill="accent1" w:themeFillTint="33"/>
          </w:tcPr>
          <w:p w14:paraId="0A2C4836" w14:textId="6B6B55CE" w:rsidR="00B90012" w:rsidRPr="00143D36" w:rsidRDefault="00143D36" w:rsidP="00B90012">
            <w:pPr>
              <w:spacing w:line="276" w:lineRule="auto"/>
              <w:jc w:val="right"/>
              <w:rPr>
                <w:rFonts w:asciiTheme="minorHAnsi" w:hAnsiTheme="minorHAnsi" w:cstheme="minorHAnsi"/>
                <w:b/>
                <w:color w:val="000000" w:themeColor="text1"/>
                <w:sz w:val="20"/>
                <w:szCs w:val="20"/>
              </w:rPr>
            </w:pPr>
            <w:hyperlink r:id="rId15" w:history="1">
              <w:r w:rsidR="00B90012" w:rsidRPr="00143D36">
                <w:rPr>
                  <w:rStyle w:val="Hypertextovodkaz"/>
                  <w:rFonts w:asciiTheme="minorHAnsi" w:hAnsiTheme="minorHAnsi"/>
                  <w:b/>
                  <w:color w:val="000000" w:themeColor="text1"/>
                  <w:sz w:val="20"/>
                </w:rPr>
                <w:t xml:space="preserve">Rozsudek Soudního dvora ze dne 7. května 2013, </w:t>
              </w:r>
              <w:proofErr w:type="spellStart"/>
              <w:r w:rsidR="00B90012" w:rsidRPr="00143D36">
                <w:rPr>
                  <w:rStyle w:val="Hypertextovodkaz"/>
                  <w:rFonts w:asciiTheme="minorHAnsi" w:hAnsiTheme="minorHAnsi"/>
                  <w:b/>
                  <w:i/>
                  <w:color w:val="000000" w:themeColor="text1"/>
                  <w:sz w:val="20"/>
                </w:rPr>
                <w:t>Åklagaren</w:t>
              </w:r>
              <w:proofErr w:type="spellEnd"/>
              <w:r w:rsidR="00B90012" w:rsidRPr="00143D36">
                <w:rPr>
                  <w:rStyle w:val="Hypertextovodkaz"/>
                  <w:rFonts w:asciiTheme="minorHAnsi" w:hAnsiTheme="minorHAnsi"/>
                  <w:b/>
                  <w:i/>
                  <w:color w:val="000000" w:themeColor="text1"/>
                  <w:sz w:val="20"/>
                </w:rPr>
                <w:t xml:space="preserve"> v. Hans </w:t>
              </w:r>
              <w:proofErr w:type="spellStart"/>
              <w:r w:rsidR="00B90012" w:rsidRPr="00143D36">
                <w:rPr>
                  <w:rStyle w:val="Hypertextovodkaz"/>
                  <w:rFonts w:asciiTheme="minorHAnsi" w:hAnsiTheme="minorHAnsi"/>
                  <w:b/>
                  <w:i/>
                  <w:color w:val="000000" w:themeColor="text1"/>
                  <w:sz w:val="20"/>
                </w:rPr>
                <w:t>Åkerberg</w:t>
              </w:r>
              <w:proofErr w:type="spellEnd"/>
              <w:r w:rsidR="00B90012" w:rsidRPr="00143D36">
                <w:rPr>
                  <w:rStyle w:val="Hypertextovodkaz"/>
                  <w:rFonts w:asciiTheme="minorHAnsi" w:hAnsiTheme="minorHAnsi"/>
                  <w:b/>
                  <w:i/>
                  <w:color w:val="000000" w:themeColor="text1"/>
                  <w:sz w:val="20"/>
                </w:rPr>
                <w:t xml:space="preserve"> </w:t>
              </w:r>
              <w:proofErr w:type="spellStart"/>
              <w:r w:rsidR="00B90012" w:rsidRPr="00143D36">
                <w:rPr>
                  <w:rStyle w:val="Hypertextovodkaz"/>
                  <w:rFonts w:asciiTheme="minorHAnsi" w:hAnsiTheme="minorHAnsi"/>
                  <w:b/>
                  <w:i/>
                  <w:color w:val="000000" w:themeColor="text1"/>
                  <w:sz w:val="20"/>
                </w:rPr>
                <w:t>Fransson</w:t>
              </w:r>
              <w:proofErr w:type="spellEnd"/>
              <w:r w:rsidR="00B90012" w:rsidRPr="00143D36">
                <w:rPr>
                  <w:rStyle w:val="Hypertextovodkaz"/>
                  <w:rFonts w:asciiTheme="minorHAnsi" w:hAnsiTheme="minorHAnsi"/>
                  <w:b/>
                  <w:color w:val="000000" w:themeColor="text1"/>
                  <w:sz w:val="20"/>
                </w:rPr>
                <w:t>, C-617/10, ECLI:EU:C:2013:280</w:t>
              </w:r>
            </w:hyperlink>
          </w:p>
          <w:p w14:paraId="5FDB04ED" w14:textId="77777777" w:rsidR="00537D03" w:rsidRDefault="00537D03" w:rsidP="00537D03">
            <w:pPr>
              <w:pStyle w:val="FormtovanvHTML"/>
              <w:jc w:val="both"/>
              <w:rPr>
                <w:rFonts w:asciiTheme="minorHAnsi" w:hAnsiTheme="minorHAnsi" w:cstheme="minorHAnsi"/>
                <w:lang w:eastAsia="ca-ES"/>
              </w:rPr>
            </w:pPr>
          </w:p>
          <w:p w14:paraId="7058D29C" w14:textId="77777777" w:rsidR="00537D03" w:rsidRPr="00537D03" w:rsidRDefault="00537D03" w:rsidP="00537D03">
            <w:pPr>
              <w:pStyle w:val="FormtovanvHTML"/>
              <w:jc w:val="both"/>
              <w:rPr>
                <w:rFonts w:asciiTheme="minorHAnsi" w:hAnsiTheme="minorHAnsi" w:cstheme="minorHAnsi"/>
              </w:rPr>
            </w:pPr>
            <w:r>
              <w:rPr>
                <w:rFonts w:asciiTheme="minorHAnsi" w:hAnsiTheme="minorHAnsi"/>
              </w:rPr>
              <w:t xml:space="preserve">H. Å. </w:t>
            </w:r>
            <w:proofErr w:type="spellStart"/>
            <w:r>
              <w:rPr>
                <w:rFonts w:asciiTheme="minorHAnsi" w:hAnsiTheme="minorHAnsi"/>
              </w:rPr>
              <w:t>Fransson</w:t>
            </w:r>
            <w:proofErr w:type="spellEnd"/>
            <w:r>
              <w:rPr>
                <w:rFonts w:asciiTheme="minorHAnsi" w:hAnsiTheme="minorHAnsi"/>
              </w:rPr>
              <w:t xml:space="preserve"> údajně poskytl nesprávné údaje</w:t>
            </w:r>
            <w:r w:rsidR="00460264">
              <w:rPr>
                <w:rFonts w:asciiTheme="minorHAnsi" w:hAnsiTheme="minorHAnsi"/>
              </w:rPr>
              <w:t xml:space="preserve"> o </w:t>
            </w:r>
            <w:r>
              <w:rPr>
                <w:rFonts w:asciiTheme="minorHAnsi" w:hAnsiTheme="minorHAnsi"/>
              </w:rPr>
              <w:t>svém příjmu</w:t>
            </w:r>
            <w:r w:rsidR="00460264">
              <w:rPr>
                <w:rFonts w:asciiTheme="minorHAnsi" w:hAnsiTheme="minorHAnsi"/>
              </w:rPr>
              <w:t xml:space="preserve"> a </w:t>
            </w:r>
            <w:r>
              <w:rPr>
                <w:rFonts w:asciiTheme="minorHAnsi" w:hAnsiTheme="minorHAnsi"/>
              </w:rPr>
              <w:t>dani</w:t>
            </w:r>
            <w:r w:rsidR="00460264">
              <w:rPr>
                <w:rFonts w:asciiTheme="minorHAnsi" w:hAnsiTheme="minorHAnsi"/>
              </w:rPr>
              <w:t xml:space="preserve"> z </w:t>
            </w:r>
            <w:r>
              <w:rPr>
                <w:rFonts w:asciiTheme="minorHAnsi" w:hAnsiTheme="minorHAnsi"/>
              </w:rPr>
              <w:t xml:space="preserve">přidané hodnoty. Po prvotních daňových sankcích bylo zahájeno trestní řízení pro závažný daňový únik. Obhajoba H. Å. </w:t>
            </w:r>
            <w:proofErr w:type="spellStart"/>
            <w:r>
              <w:rPr>
                <w:rFonts w:asciiTheme="minorHAnsi" w:hAnsiTheme="minorHAnsi"/>
              </w:rPr>
              <w:t>Franssona</w:t>
            </w:r>
            <w:proofErr w:type="spellEnd"/>
            <w:r>
              <w:rPr>
                <w:rFonts w:asciiTheme="minorHAnsi" w:hAnsiTheme="minorHAnsi"/>
              </w:rPr>
              <w:t xml:space="preserve"> byla </w:t>
            </w:r>
            <w:r>
              <w:rPr>
                <w:rFonts w:asciiTheme="minorHAnsi" w:hAnsiTheme="minorHAnsi"/>
              </w:rPr>
              <w:lastRenderedPageBreak/>
              <w:t xml:space="preserve">postavená na tom, že trestním řízením byla porušena zásada </w:t>
            </w:r>
            <w:r>
              <w:rPr>
                <w:rFonts w:asciiTheme="minorHAnsi" w:hAnsiTheme="minorHAnsi"/>
                <w:i/>
                <w:iCs/>
              </w:rPr>
              <w:t>ne bis in idem</w:t>
            </w:r>
            <w:r>
              <w:rPr>
                <w:rFonts w:asciiTheme="minorHAnsi" w:hAnsiTheme="minorHAnsi"/>
              </w:rPr>
              <w:t xml:space="preserve"> stanovená</w:t>
            </w:r>
            <w:r w:rsidR="00460264">
              <w:rPr>
                <w:rFonts w:asciiTheme="minorHAnsi" w:hAnsiTheme="minorHAnsi"/>
              </w:rPr>
              <w:t xml:space="preserve"> v </w:t>
            </w:r>
            <w:r>
              <w:rPr>
                <w:rFonts w:asciiTheme="minorHAnsi" w:hAnsiTheme="minorHAnsi"/>
              </w:rPr>
              <w:t>článku 50 Listiny. Věc byla postoupena SDEU</w:t>
            </w:r>
            <w:r w:rsidR="00460264">
              <w:rPr>
                <w:rFonts w:asciiTheme="minorHAnsi" w:hAnsiTheme="minorHAnsi"/>
              </w:rPr>
              <w:t xml:space="preserve"> s </w:t>
            </w:r>
            <w:r>
              <w:rPr>
                <w:rFonts w:asciiTheme="minorHAnsi" w:hAnsiTheme="minorHAnsi"/>
              </w:rPr>
              <w:t>tím, že byla vznesena otázka pravomoci, zda případ spadá do oblasti působnosti unijního práva.</w:t>
            </w:r>
          </w:p>
          <w:p w14:paraId="1A9494B3" w14:textId="77777777" w:rsidR="00B90012" w:rsidRPr="007D56D6" w:rsidRDefault="00B90012" w:rsidP="00537D0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heme="minorHAnsi" w:hAnsiTheme="minorHAnsi" w:cstheme="minorHAnsi"/>
                <w:sz w:val="20"/>
                <w:szCs w:val="20"/>
              </w:rPr>
            </w:pPr>
          </w:p>
          <w:p w14:paraId="51194B67" w14:textId="77777777" w:rsidR="00B90012" w:rsidRDefault="00B90012" w:rsidP="00537D03">
            <w:pPr>
              <w:spacing w:line="276" w:lineRule="auto"/>
              <w:jc w:val="both"/>
              <w:rPr>
                <w:rFonts w:cstheme="minorHAnsi"/>
              </w:rPr>
            </w:pPr>
            <w:r>
              <w:rPr>
                <w:rFonts w:asciiTheme="minorHAnsi" w:hAnsiTheme="minorHAnsi"/>
                <w:sz w:val="20"/>
              </w:rPr>
              <w:t>„19.</w:t>
            </w:r>
            <w:r w:rsidR="00460264">
              <w:rPr>
                <w:rFonts w:asciiTheme="minorHAnsi" w:hAnsiTheme="minorHAnsi"/>
                <w:sz w:val="20"/>
              </w:rPr>
              <w:t xml:space="preserve"> </w:t>
            </w:r>
            <w:r w:rsidR="00460264">
              <w:rPr>
                <w:rFonts w:asciiTheme="minorHAnsi" w:hAnsiTheme="minorHAnsi"/>
                <w:i/>
                <w:sz w:val="20"/>
              </w:rPr>
              <w:t>Z</w:t>
            </w:r>
            <w:r w:rsidR="00460264">
              <w:rPr>
                <w:rFonts w:asciiTheme="minorHAnsi" w:hAnsiTheme="minorHAnsi"/>
                <w:sz w:val="20"/>
              </w:rPr>
              <w:t> </w:t>
            </w:r>
            <w:r>
              <w:rPr>
                <w:rFonts w:asciiTheme="minorHAnsi" w:hAnsiTheme="minorHAnsi"/>
                <w:i/>
                <w:sz w:val="20"/>
              </w:rPr>
              <w:t>ustálené judikatury Soudního dvora totiž</w:t>
            </w:r>
            <w:r w:rsidR="00460264">
              <w:rPr>
                <w:rFonts w:asciiTheme="minorHAnsi" w:hAnsiTheme="minorHAnsi"/>
                <w:i/>
                <w:sz w:val="20"/>
              </w:rPr>
              <w:t xml:space="preserve"> v </w:t>
            </w:r>
            <w:r>
              <w:rPr>
                <w:rFonts w:asciiTheme="minorHAnsi" w:hAnsiTheme="minorHAnsi"/>
                <w:i/>
                <w:sz w:val="20"/>
              </w:rPr>
              <w:t>podstatě vyplývá, že základní práva zaručená</w:t>
            </w:r>
            <w:r w:rsidR="00460264">
              <w:rPr>
                <w:rFonts w:asciiTheme="minorHAnsi" w:hAnsiTheme="minorHAnsi"/>
                <w:i/>
                <w:sz w:val="20"/>
              </w:rPr>
              <w:t xml:space="preserve"> v </w:t>
            </w:r>
            <w:r>
              <w:rPr>
                <w:rFonts w:asciiTheme="minorHAnsi" w:hAnsiTheme="minorHAnsi"/>
                <w:i/>
                <w:sz w:val="20"/>
              </w:rPr>
              <w:t>právním řádu Unie se uplatní ve všech situacích, které se řídí unijním právem, avšak nikoli mimo tyto situace.</w:t>
            </w:r>
            <w:r w:rsidR="00460264">
              <w:rPr>
                <w:rFonts w:asciiTheme="minorHAnsi" w:hAnsiTheme="minorHAnsi"/>
                <w:i/>
                <w:sz w:val="20"/>
              </w:rPr>
              <w:t xml:space="preserve"> V </w:t>
            </w:r>
            <w:r>
              <w:rPr>
                <w:rFonts w:asciiTheme="minorHAnsi" w:hAnsiTheme="minorHAnsi"/>
                <w:i/>
                <w:sz w:val="20"/>
              </w:rPr>
              <w:t>tomto rámci již Soudní dvůr připomněl, že vnitrostátní právní úpravu, která nespadá do rámce unijního práva, nemůže posoudit</w:t>
            </w:r>
            <w:r w:rsidR="00460264">
              <w:rPr>
                <w:rFonts w:asciiTheme="minorHAnsi" w:hAnsiTheme="minorHAnsi"/>
                <w:i/>
                <w:sz w:val="20"/>
              </w:rPr>
              <w:t xml:space="preserve"> z </w:t>
            </w:r>
            <w:r>
              <w:rPr>
                <w:rFonts w:asciiTheme="minorHAnsi" w:hAnsiTheme="minorHAnsi"/>
                <w:i/>
                <w:sz w:val="20"/>
              </w:rPr>
              <w:t>hlediska Listiny.“</w:t>
            </w:r>
          </w:p>
        </w:tc>
      </w:tr>
    </w:tbl>
    <w:p w14:paraId="753D3FD8" w14:textId="77777777" w:rsidR="00B90012" w:rsidRPr="007D56D6" w:rsidRDefault="00B90012" w:rsidP="00EC2273">
      <w:pPr>
        <w:spacing w:line="276" w:lineRule="auto"/>
        <w:jc w:val="both"/>
        <w:rPr>
          <w:rFonts w:cstheme="minorHAnsi"/>
        </w:rPr>
      </w:pPr>
    </w:p>
    <w:p w14:paraId="49C73A8D" w14:textId="77777777" w:rsidR="001D2657" w:rsidRPr="00674960" w:rsidRDefault="001D2657" w:rsidP="00EC1B7F">
      <w:pPr>
        <w:spacing w:after="120" w:line="276" w:lineRule="auto"/>
        <w:jc w:val="both"/>
        <w:rPr>
          <w:rFonts w:cstheme="minorHAnsi"/>
          <w:color w:val="384575"/>
        </w:rPr>
      </w:pPr>
      <w:r w:rsidRPr="00674960">
        <w:rPr>
          <w:color w:val="384575"/>
        </w:rPr>
        <w:t>Existenci unijního ustanovení nelze nahradit pouhou pravomocí EU. Je nutné, aby výkon pravomoci nabyl účinnosti</w:t>
      </w:r>
      <w:r w:rsidR="00460264" w:rsidRPr="00674960">
        <w:rPr>
          <w:color w:val="384575"/>
        </w:rPr>
        <w:t xml:space="preserve"> a </w:t>
      </w:r>
      <w:r w:rsidRPr="00674960">
        <w:rPr>
          <w:color w:val="384575"/>
        </w:rPr>
        <w:t>aby se ustanovení vyplývající</w:t>
      </w:r>
      <w:r w:rsidR="00460264" w:rsidRPr="00674960">
        <w:rPr>
          <w:color w:val="384575"/>
        </w:rPr>
        <w:t xml:space="preserve"> z </w:t>
      </w:r>
      <w:r w:rsidRPr="00674960">
        <w:rPr>
          <w:color w:val="384575"/>
        </w:rPr>
        <w:t>výkonu pravomoci EU vztahovalo na konkrétní případ.</w:t>
      </w:r>
    </w:p>
    <w:p w14:paraId="7B1E2170" w14:textId="77777777" w:rsidR="001D2657" w:rsidRPr="007D56D6" w:rsidRDefault="001D2657" w:rsidP="001D2657">
      <w:pPr>
        <w:spacing w:line="276" w:lineRule="auto"/>
        <w:jc w:val="both"/>
        <w:rPr>
          <w:rFonts w:cstheme="minorHAnsi"/>
        </w:rPr>
      </w:pPr>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E2F3" w:themeFill="accent1" w:themeFillTint="33"/>
        <w:tblLook w:val="04A0" w:firstRow="1" w:lastRow="0" w:firstColumn="1" w:lastColumn="0" w:noHBand="0" w:noVBand="1"/>
      </w:tblPr>
      <w:tblGrid>
        <w:gridCol w:w="8613"/>
      </w:tblGrid>
      <w:tr w:rsidR="001D2657" w:rsidRPr="0027595F" w14:paraId="22E3709E" w14:textId="77777777" w:rsidTr="0048041D">
        <w:tc>
          <w:tcPr>
            <w:tcW w:w="8613" w:type="dxa"/>
            <w:shd w:val="clear" w:color="auto" w:fill="D9E2F3" w:themeFill="accent1" w:themeFillTint="33"/>
          </w:tcPr>
          <w:p w14:paraId="4DF5CD4F" w14:textId="2F78267F" w:rsidR="001D2657" w:rsidRPr="00A80104" w:rsidRDefault="00A80104" w:rsidP="0027595F">
            <w:pPr>
              <w:spacing w:line="276" w:lineRule="auto"/>
              <w:jc w:val="right"/>
              <w:rPr>
                <w:rFonts w:asciiTheme="minorHAnsi" w:hAnsiTheme="minorHAnsi" w:cstheme="minorHAnsi"/>
                <w:b/>
                <w:color w:val="000000" w:themeColor="text1"/>
                <w:sz w:val="20"/>
                <w:szCs w:val="20"/>
              </w:rPr>
            </w:pPr>
            <w:hyperlink r:id="rId16" w:history="1">
              <w:r w:rsidR="0027595F" w:rsidRPr="00A80104">
                <w:rPr>
                  <w:rStyle w:val="Hypertextovodkaz"/>
                  <w:rFonts w:asciiTheme="minorHAnsi" w:hAnsiTheme="minorHAnsi"/>
                  <w:b/>
                  <w:color w:val="000000" w:themeColor="text1"/>
                  <w:sz w:val="20"/>
                </w:rPr>
                <w:t xml:space="preserve">Rozsudek Soudního dvora (Velkého senátu) ze dne 5. února 2015, C-117/14, </w:t>
              </w:r>
              <w:r w:rsidR="0027595F" w:rsidRPr="00A80104">
                <w:rPr>
                  <w:rStyle w:val="Hypertextovodkaz"/>
                  <w:rFonts w:asciiTheme="minorHAnsi" w:hAnsiTheme="minorHAnsi"/>
                  <w:b/>
                  <w:i/>
                  <w:iCs/>
                  <w:color w:val="000000" w:themeColor="text1"/>
                  <w:sz w:val="20"/>
                </w:rPr>
                <w:t xml:space="preserve">Grima Janet </w:t>
              </w:r>
              <w:proofErr w:type="spellStart"/>
              <w:r w:rsidR="0027595F" w:rsidRPr="00A80104">
                <w:rPr>
                  <w:rStyle w:val="Hypertextovodkaz"/>
                  <w:rFonts w:asciiTheme="minorHAnsi" w:hAnsiTheme="minorHAnsi"/>
                  <w:b/>
                  <w:i/>
                  <w:iCs/>
                  <w:color w:val="000000" w:themeColor="text1"/>
                  <w:sz w:val="20"/>
                </w:rPr>
                <w:t>Nisttahuz</w:t>
              </w:r>
              <w:proofErr w:type="spellEnd"/>
              <w:r w:rsidR="0027595F" w:rsidRPr="00A80104">
                <w:rPr>
                  <w:rStyle w:val="Hypertextovodkaz"/>
                  <w:rFonts w:asciiTheme="minorHAnsi" w:hAnsiTheme="minorHAnsi"/>
                  <w:b/>
                  <w:i/>
                  <w:iCs/>
                  <w:color w:val="000000" w:themeColor="text1"/>
                  <w:sz w:val="20"/>
                </w:rPr>
                <w:t xml:space="preserve"> </w:t>
              </w:r>
              <w:proofErr w:type="spellStart"/>
              <w:r w:rsidR="0027595F" w:rsidRPr="00A80104">
                <w:rPr>
                  <w:rStyle w:val="Hypertextovodkaz"/>
                  <w:rFonts w:asciiTheme="minorHAnsi" w:hAnsiTheme="minorHAnsi"/>
                  <w:b/>
                  <w:i/>
                  <w:iCs/>
                  <w:color w:val="000000" w:themeColor="text1"/>
                  <w:sz w:val="20"/>
                </w:rPr>
                <w:t>Poclava</w:t>
              </w:r>
              <w:proofErr w:type="spellEnd"/>
              <w:r w:rsidR="0027595F" w:rsidRPr="00A80104">
                <w:rPr>
                  <w:rStyle w:val="Hypertextovodkaz"/>
                  <w:rFonts w:asciiTheme="minorHAnsi" w:hAnsiTheme="minorHAnsi"/>
                  <w:b/>
                  <w:i/>
                  <w:iCs/>
                  <w:color w:val="000000" w:themeColor="text1"/>
                  <w:sz w:val="20"/>
                </w:rPr>
                <w:t xml:space="preserve"> v. Jose Maria </w:t>
              </w:r>
              <w:proofErr w:type="spellStart"/>
              <w:r w:rsidR="0027595F" w:rsidRPr="00A80104">
                <w:rPr>
                  <w:rStyle w:val="Hypertextovodkaz"/>
                  <w:rFonts w:asciiTheme="minorHAnsi" w:hAnsiTheme="minorHAnsi"/>
                  <w:b/>
                  <w:i/>
                  <w:iCs/>
                  <w:color w:val="000000" w:themeColor="text1"/>
                  <w:sz w:val="20"/>
                </w:rPr>
                <w:t>Ariza</w:t>
              </w:r>
              <w:proofErr w:type="spellEnd"/>
              <w:r w:rsidR="0027595F" w:rsidRPr="00A80104">
                <w:rPr>
                  <w:rStyle w:val="Hypertextovodkaz"/>
                  <w:rFonts w:asciiTheme="minorHAnsi" w:hAnsiTheme="minorHAnsi"/>
                  <w:b/>
                  <w:i/>
                  <w:iCs/>
                  <w:color w:val="000000" w:themeColor="text1"/>
                  <w:sz w:val="20"/>
                </w:rPr>
                <w:t xml:space="preserve"> </w:t>
              </w:r>
              <w:proofErr w:type="spellStart"/>
              <w:r w:rsidR="0027595F" w:rsidRPr="00A80104">
                <w:rPr>
                  <w:rStyle w:val="Hypertextovodkaz"/>
                  <w:rFonts w:asciiTheme="minorHAnsi" w:hAnsiTheme="minorHAnsi"/>
                  <w:b/>
                  <w:i/>
                  <w:iCs/>
                  <w:color w:val="000000" w:themeColor="text1"/>
                  <w:sz w:val="20"/>
                </w:rPr>
                <w:t>Toledano</w:t>
              </w:r>
              <w:proofErr w:type="spellEnd"/>
              <w:r w:rsidR="0027595F" w:rsidRPr="00A80104">
                <w:rPr>
                  <w:rStyle w:val="Hypertextovodkaz"/>
                  <w:rFonts w:asciiTheme="minorHAnsi" w:hAnsiTheme="minorHAnsi"/>
                  <w:b/>
                  <w:color w:val="000000" w:themeColor="text1"/>
                  <w:sz w:val="20"/>
                </w:rPr>
                <w:t>, ECLI:EU:C:2015:60</w:t>
              </w:r>
            </w:hyperlink>
          </w:p>
          <w:p w14:paraId="69D220D8" w14:textId="77777777" w:rsidR="001D2657" w:rsidRDefault="001D2657" w:rsidP="001D2657">
            <w:pPr>
              <w:spacing w:line="276" w:lineRule="auto"/>
              <w:jc w:val="both"/>
              <w:rPr>
                <w:rFonts w:asciiTheme="minorHAnsi" w:hAnsiTheme="minorHAnsi" w:cstheme="minorHAnsi"/>
                <w:sz w:val="20"/>
                <w:szCs w:val="20"/>
              </w:rPr>
            </w:pPr>
            <w:r>
              <w:rPr>
                <w:rFonts w:asciiTheme="minorHAnsi" w:hAnsiTheme="minorHAnsi"/>
                <w:sz w:val="20"/>
              </w:rPr>
              <w:t>Článek 30 například upravuje ochranu proti neoprávněnému propuštění. Evropská unie má pravomoc vyplývající ze Smluv upravit pravidla týkající se propouštění, ale dosud ji nevyužila. Proto nelze rozhodnutí</w:t>
            </w:r>
            <w:r w:rsidR="00460264">
              <w:rPr>
                <w:rFonts w:asciiTheme="minorHAnsi" w:hAnsiTheme="minorHAnsi"/>
                <w:sz w:val="20"/>
              </w:rPr>
              <w:t xml:space="preserve"> o </w:t>
            </w:r>
            <w:r>
              <w:rPr>
                <w:rFonts w:asciiTheme="minorHAnsi" w:hAnsiTheme="minorHAnsi"/>
                <w:sz w:val="20"/>
              </w:rPr>
              <w:t>propuštění zaměstnance napadnout na základě článku 30 Listiny, pokud neexistuje žádná jiná souvislost</w:t>
            </w:r>
            <w:r w:rsidR="00460264">
              <w:rPr>
                <w:rFonts w:asciiTheme="minorHAnsi" w:hAnsiTheme="minorHAnsi"/>
                <w:sz w:val="20"/>
              </w:rPr>
              <w:t xml:space="preserve"> s </w:t>
            </w:r>
            <w:r>
              <w:rPr>
                <w:rFonts w:asciiTheme="minorHAnsi" w:hAnsiTheme="minorHAnsi"/>
                <w:sz w:val="20"/>
              </w:rPr>
              <w:t>unijním právem.</w:t>
            </w:r>
          </w:p>
          <w:p w14:paraId="3D42F3CF" w14:textId="77777777" w:rsidR="0049009B" w:rsidRPr="007D56D6" w:rsidRDefault="0049009B" w:rsidP="001D2657">
            <w:pPr>
              <w:spacing w:line="276" w:lineRule="auto"/>
              <w:jc w:val="both"/>
              <w:rPr>
                <w:rFonts w:asciiTheme="minorHAnsi" w:hAnsiTheme="minorHAnsi" w:cstheme="minorHAnsi"/>
                <w:sz w:val="20"/>
                <w:szCs w:val="20"/>
              </w:rPr>
            </w:pPr>
          </w:p>
          <w:p w14:paraId="4C9010E8" w14:textId="77777777" w:rsidR="0049009B" w:rsidRDefault="0049009B" w:rsidP="0049009B">
            <w:pPr>
              <w:jc w:val="both"/>
              <w:rPr>
                <w:rFonts w:asciiTheme="minorHAnsi" w:hAnsiTheme="minorHAnsi" w:cstheme="minorHAnsi"/>
                <w:sz w:val="20"/>
                <w:szCs w:val="20"/>
              </w:rPr>
            </w:pPr>
            <w:r>
              <w:rPr>
                <w:rFonts w:asciiTheme="minorHAnsi" w:hAnsiTheme="minorHAnsi"/>
                <w:sz w:val="20"/>
              </w:rPr>
              <w:t xml:space="preserve">G. J. </w:t>
            </w:r>
            <w:proofErr w:type="spellStart"/>
            <w:r>
              <w:rPr>
                <w:rFonts w:asciiTheme="minorHAnsi" w:hAnsiTheme="minorHAnsi"/>
                <w:sz w:val="20"/>
              </w:rPr>
              <w:t>Nisttahuz</w:t>
            </w:r>
            <w:proofErr w:type="spellEnd"/>
            <w:r>
              <w:rPr>
                <w:rFonts w:asciiTheme="minorHAnsi" w:hAnsiTheme="minorHAnsi"/>
                <w:sz w:val="20"/>
              </w:rPr>
              <w:t xml:space="preserve"> </w:t>
            </w:r>
            <w:proofErr w:type="spellStart"/>
            <w:r>
              <w:rPr>
                <w:rFonts w:asciiTheme="minorHAnsi" w:hAnsiTheme="minorHAnsi"/>
                <w:sz w:val="20"/>
              </w:rPr>
              <w:t>Poclava</w:t>
            </w:r>
            <w:proofErr w:type="spellEnd"/>
            <w:r>
              <w:rPr>
                <w:rFonts w:asciiTheme="minorHAnsi" w:hAnsiTheme="minorHAnsi"/>
                <w:sz w:val="20"/>
              </w:rPr>
              <w:t xml:space="preserve"> pracovala jako kuchařka pro hotelový podnik </w:t>
            </w:r>
            <w:proofErr w:type="spellStart"/>
            <w:r>
              <w:rPr>
                <w:rFonts w:asciiTheme="minorHAnsi" w:hAnsiTheme="minorHAnsi"/>
                <w:sz w:val="20"/>
              </w:rPr>
              <w:t>Taberna</w:t>
            </w:r>
            <w:proofErr w:type="spellEnd"/>
            <w:r>
              <w:rPr>
                <w:rFonts w:asciiTheme="minorHAnsi" w:hAnsiTheme="minorHAnsi"/>
                <w:sz w:val="20"/>
              </w:rPr>
              <w:t xml:space="preserve"> </w:t>
            </w:r>
            <w:proofErr w:type="spellStart"/>
            <w:r>
              <w:rPr>
                <w:rFonts w:asciiTheme="minorHAnsi" w:hAnsiTheme="minorHAnsi"/>
                <w:sz w:val="20"/>
              </w:rPr>
              <w:t>del</w:t>
            </w:r>
            <w:proofErr w:type="spellEnd"/>
            <w:r>
              <w:rPr>
                <w:rFonts w:asciiTheme="minorHAnsi" w:hAnsiTheme="minorHAnsi"/>
                <w:sz w:val="20"/>
              </w:rPr>
              <w:t xml:space="preserve"> </w:t>
            </w:r>
            <w:proofErr w:type="spellStart"/>
            <w:r>
              <w:rPr>
                <w:rFonts w:asciiTheme="minorHAnsi" w:hAnsiTheme="minorHAnsi"/>
                <w:sz w:val="20"/>
              </w:rPr>
              <w:t>Marqués</w:t>
            </w:r>
            <w:proofErr w:type="spellEnd"/>
            <w:r>
              <w:rPr>
                <w:rFonts w:asciiTheme="minorHAnsi" w:hAnsiTheme="minorHAnsi"/>
                <w:sz w:val="20"/>
              </w:rPr>
              <w:t>. Její pracovní poměr na plný úvazek byl uzavřen pracovní smlouvou na dobu neurčitou podepsanou</w:t>
            </w:r>
            <w:r w:rsidR="00460264">
              <w:rPr>
                <w:rFonts w:asciiTheme="minorHAnsi" w:hAnsiTheme="minorHAnsi"/>
                <w:sz w:val="20"/>
              </w:rPr>
              <w:t xml:space="preserve"> v </w:t>
            </w:r>
            <w:r>
              <w:rPr>
                <w:rFonts w:asciiTheme="minorHAnsi" w:hAnsiTheme="minorHAnsi"/>
                <w:sz w:val="20"/>
              </w:rPr>
              <w:t>roce 2013. Ve smlouvě byla uvedena zkušební doba</w:t>
            </w:r>
            <w:r w:rsidR="00460264">
              <w:rPr>
                <w:rFonts w:asciiTheme="minorHAnsi" w:hAnsiTheme="minorHAnsi"/>
                <w:sz w:val="20"/>
              </w:rPr>
              <w:t xml:space="preserve"> v </w:t>
            </w:r>
            <w:r>
              <w:rPr>
                <w:rFonts w:asciiTheme="minorHAnsi" w:hAnsiTheme="minorHAnsi"/>
                <w:sz w:val="20"/>
              </w:rPr>
              <w:t xml:space="preserve">délce jednoho roku. Dopisem ze dne 31. května 2013 byla G. J. </w:t>
            </w:r>
            <w:proofErr w:type="spellStart"/>
            <w:r>
              <w:rPr>
                <w:rFonts w:asciiTheme="minorHAnsi" w:hAnsiTheme="minorHAnsi"/>
                <w:sz w:val="20"/>
              </w:rPr>
              <w:t>Nisttahuz</w:t>
            </w:r>
            <w:proofErr w:type="spellEnd"/>
            <w:r>
              <w:rPr>
                <w:rFonts w:asciiTheme="minorHAnsi" w:hAnsiTheme="minorHAnsi"/>
                <w:sz w:val="20"/>
              </w:rPr>
              <w:t xml:space="preserve"> </w:t>
            </w:r>
            <w:proofErr w:type="spellStart"/>
            <w:r>
              <w:rPr>
                <w:rFonts w:asciiTheme="minorHAnsi" w:hAnsiTheme="minorHAnsi"/>
                <w:sz w:val="20"/>
              </w:rPr>
              <w:t>Poclava</w:t>
            </w:r>
            <w:proofErr w:type="spellEnd"/>
            <w:r>
              <w:rPr>
                <w:rFonts w:asciiTheme="minorHAnsi" w:hAnsiTheme="minorHAnsi"/>
                <w:sz w:val="20"/>
              </w:rPr>
              <w:t xml:space="preserve"> informována, že od tohoto data již není zaměstnankyní podniku, jelikož úspěšně neabsolvovala zkušební dobu. Zaměstnankyně napadla délku zkušební doby</w:t>
            </w:r>
            <w:r w:rsidR="00460264">
              <w:rPr>
                <w:rFonts w:asciiTheme="minorHAnsi" w:hAnsiTheme="minorHAnsi"/>
                <w:sz w:val="20"/>
              </w:rPr>
              <w:t xml:space="preserve"> s </w:t>
            </w:r>
            <w:r>
              <w:rPr>
                <w:rFonts w:asciiTheme="minorHAnsi" w:hAnsiTheme="minorHAnsi"/>
                <w:sz w:val="20"/>
              </w:rPr>
              <w:t>odvoláním na článek 30 Listiny.</w:t>
            </w:r>
          </w:p>
          <w:p w14:paraId="4DE583C6" w14:textId="77777777" w:rsidR="0049009B" w:rsidRPr="007D56D6" w:rsidRDefault="0049009B" w:rsidP="0049009B">
            <w:pPr>
              <w:jc w:val="both"/>
              <w:rPr>
                <w:rFonts w:asciiTheme="minorHAnsi" w:hAnsiTheme="minorHAnsi" w:cstheme="minorHAnsi"/>
                <w:sz w:val="20"/>
                <w:szCs w:val="20"/>
              </w:rPr>
            </w:pPr>
          </w:p>
          <w:p w14:paraId="78FD278E" w14:textId="77777777" w:rsidR="001D2657" w:rsidRPr="0027595F" w:rsidRDefault="0049009B" w:rsidP="001D2657">
            <w:pPr>
              <w:spacing w:line="276" w:lineRule="auto"/>
              <w:jc w:val="both"/>
              <w:rPr>
                <w:rFonts w:asciiTheme="minorHAnsi" w:hAnsiTheme="minorHAnsi" w:cstheme="minorHAnsi"/>
                <w:sz w:val="20"/>
                <w:szCs w:val="20"/>
              </w:rPr>
            </w:pPr>
            <w:r>
              <w:rPr>
                <w:rFonts w:asciiTheme="minorHAnsi" w:hAnsiTheme="minorHAnsi"/>
                <w:color w:val="000000"/>
                <w:sz w:val="20"/>
              </w:rPr>
              <w:t> Je třeba připomenout, že působnost Listiny, pokud jde</w:t>
            </w:r>
            <w:r w:rsidR="00460264">
              <w:rPr>
                <w:rFonts w:asciiTheme="minorHAnsi" w:hAnsiTheme="minorHAnsi"/>
                <w:color w:val="000000"/>
                <w:sz w:val="20"/>
              </w:rPr>
              <w:t xml:space="preserve"> o </w:t>
            </w:r>
            <w:r>
              <w:rPr>
                <w:rFonts w:asciiTheme="minorHAnsi" w:hAnsiTheme="minorHAnsi"/>
                <w:color w:val="000000"/>
                <w:sz w:val="20"/>
              </w:rPr>
              <w:t>jednání členských států, je definována</w:t>
            </w:r>
            <w:r w:rsidR="00460264">
              <w:rPr>
                <w:rFonts w:asciiTheme="minorHAnsi" w:hAnsiTheme="minorHAnsi"/>
                <w:color w:val="000000"/>
                <w:sz w:val="20"/>
              </w:rPr>
              <w:t xml:space="preserve"> v </w:t>
            </w:r>
            <w:r>
              <w:rPr>
                <w:rFonts w:asciiTheme="minorHAnsi" w:hAnsiTheme="minorHAnsi"/>
                <w:color w:val="000000"/>
                <w:sz w:val="20"/>
              </w:rPr>
              <w:t xml:space="preserve">jejím </w:t>
            </w:r>
            <w:r w:rsidR="00460264">
              <w:rPr>
                <w:rFonts w:asciiTheme="minorHAnsi" w:hAnsiTheme="minorHAnsi"/>
                <w:color w:val="000000"/>
                <w:sz w:val="20"/>
              </w:rPr>
              <w:t>čl. </w:t>
            </w:r>
            <w:r>
              <w:rPr>
                <w:rFonts w:asciiTheme="minorHAnsi" w:hAnsiTheme="minorHAnsi"/>
                <w:color w:val="000000"/>
                <w:sz w:val="20"/>
              </w:rPr>
              <w:t>51 odst. 1, podle něhož jsou ustanovení Listiny určena členským státům, výhradně pokud uplatňují unijní právo. Je proto třeba dospět</w:t>
            </w:r>
            <w:r w:rsidR="00460264">
              <w:rPr>
                <w:rFonts w:asciiTheme="minorHAnsi" w:hAnsiTheme="minorHAnsi"/>
                <w:color w:val="000000"/>
                <w:sz w:val="20"/>
              </w:rPr>
              <w:t xml:space="preserve"> k </w:t>
            </w:r>
            <w:r>
              <w:rPr>
                <w:rFonts w:asciiTheme="minorHAnsi" w:hAnsiTheme="minorHAnsi"/>
                <w:color w:val="000000"/>
                <w:sz w:val="20"/>
              </w:rPr>
              <w:t>závěru, že taková smlouva, jako je „pracovní smlouva na dobu neurčitou na podporu podnikatelů“ upravená španělským právem, není pracovní smlouvou na dobu určitou, která spadá do působnosti směrnice 1999/70. Z výše uvedeného vyplývá, že situace dotčená ve věci</w:t>
            </w:r>
            <w:r w:rsidR="00460264">
              <w:rPr>
                <w:rFonts w:asciiTheme="minorHAnsi" w:hAnsiTheme="minorHAnsi"/>
                <w:color w:val="000000"/>
                <w:sz w:val="20"/>
              </w:rPr>
              <w:t xml:space="preserve"> v </w:t>
            </w:r>
            <w:r>
              <w:rPr>
                <w:rFonts w:asciiTheme="minorHAnsi" w:hAnsiTheme="minorHAnsi"/>
                <w:color w:val="000000"/>
                <w:sz w:val="20"/>
              </w:rPr>
              <w:t>původním řízení nespadá do působnosti unijního práva. Článku 30 se tedy nelze dovolávat.</w:t>
            </w:r>
          </w:p>
        </w:tc>
      </w:tr>
    </w:tbl>
    <w:p w14:paraId="0A6424F5" w14:textId="77777777" w:rsidR="001D2657" w:rsidRPr="001D2657" w:rsidRDefault="001D2657" w:rsidP="001D2657">
      <w:pPr>
        <w:spacing w:line="276" w:lineRule="auto"/>
        <w:jc w:val="both"/>
        <w:rPr>
          <w:rFonts w:cstheme="minorHAnsi"/>
          <w:lang w:val="en-US"/>
        </w:rPr>
      </w:pPr>
    </w:p>
    <w:p w14:paraId="3EEA9063" w14:textId="77777777" w:rsidR="00EC2273" w:rsidRPr="00674960" w:rsidRDefault="00EC2273" w:rsidP="00EC2273">
      <w:pPr>
        <w:spacing w:line="276" w:lineRule="auto"/>
        <w:jc w:val="both"/>
        <w:rPr>
          <w:rFonts w:cstheme="minorHAnsi"/>
          <w:color w:val="384575"/>
        </w:rPr>
      </w:pPr>
      <w:r w:rsidRPr="00674960">
        <w:rPr>
          <w:color w:val="384575"/>
        </w:rPr>
        <w:t>Soukromé osoby mohou využít ochrany poskytované Listinou, dokonce</w:t>
      </w:r>
      <w:r w:rsidR="00460264" w:rsidRPr="00674960">
        <w:rPr>
          <w:color w:val="384575"/>
        </w:rPr>
        <w:t xml:space="preserve"> v </w:t>
      </w:r>
      <w:r w:rsidRPr="00674960">
        <w:rPr>
          <w:color w:val="384575"/>
        </w:rPr>
        <w:t>určitých případech jim Listina vytváří právní povinnosti.</w:t>
      </w:r>
    </w:p>
    <w:p w14:paraId="47B20772" w14:textId="77777777" w:rsidR="00A80EFB" w:rsidRPr="00674960" w:rsidRDefault="00A80EFB" w:rsidP="00EC2273">
      <w:pPr>
        <w:spacing w:line="276" w:lineRule="auto"/>
        <w:jc w:val="both"/>
        <w:rPr>
          <w:rFonts w:cstheme="minorHAnsi"/>
          <w:color w:val="384575"/>
          <w:lang w:val="en-US"/>
        </w:rPr>
      </w:pPr>
    </w:p>
    <w:tbl>
      <w:tblPr>
        <w:tblStyle w:val="Mkatabulky"/>
        <w:tblpPr w:leftFromText="141" w:rightFromText="141" w:vertAnchor="text" w:horzAnchor="margin" w:tblpY="-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E2F3" w:themeFill="accent1" w:themeFillTint="33"/>
        <w:tblLook w:val="04A0" w:firstRow="1" w:lastRow="0" w:firstColumn="1" w:lastColumn="0" w:noHBand="0" w:noVBand="1"/>
      </w:tblPr>
      <w:tblGrid>
        <w:gridCol w:w="8613"/>
      </w:tblGrid>
      <w:tr w:rsidR="00A80EFB" w:rsidRPr="0027595F" w14:paraId="4621EF9D" w14:textId="77777777" w:rsidTr="0048041D">
        <w:tc>
          <w:tcPr>
            <w:tcW w:w="8613" w:type="dxa"/>
            <w:shd w:val="clear" w:color="auto" w:fill="D9E2F3" w:themeFill="accent1" w:themeFillTint="33"/>
          </w:tcPr>
          <w:p w14:paraId="13D48652" w14:textId="3E34FFDB" w:rsidR="00A80EFB" w:rsidRPr="00CA656C" w:rsidRDefault="00CA656C" w:rsidP="00ED6B1D">
            <w:pPr>
              <w:spacing w:line="276" w:lineRule="auto"/>
              <w:jc w:val="right"/>
              <w:rPr>
                <w:rFonts w:asciiTheme="minorHAnsi" w:hAnsiTheme="minorHAnsi" w:cstheme="minorHAnsi"/>
                <w:b/>
                <w:color w:val="000000" w:themeColor="text1"/>
                <w:sz w:val="20"/>
                <w:szCs w:val="20"/>
              </w:rPr>
            </w:pPr>
            <w:hyperlink r:id="rId17" w:history="1">
              <w:r w:rsidR="00A80EFB" w:rsidRPr="00CA656C">
                <w:rPr>
                  <w:rStyle w:val="Hypertextovodkaz"/>
                  <w:rFonts w:asciiTheme="minorHAnsi" w:hAnsiTheme="minorHAnsi"/>
                  <w:b/>
                  <w:color w:val="000000" w:themeColor="text1"/>
                  <w:sz w:val="20"/>
                </w:rPr>
                <w:t xml:space="preserve">Rozsudek Soudního dvora (Velkého senátu) ze dne 15. ledna 2014, </w:t>
              </w:r>
              <w:proofErr w:type="spellStart"/>
              <w:r w:rsidR="00A80EFB" w:rsidRPr="00CA656C">
                <w:rPr>
                  <w:rStyle w:val="Hypertextovodkaz"/>
                  <w:rFonts w:asciiTheme="minorHAnsi" w:hAnsiTheme="minorHAnsi"/>
                  <w:b/>
                  <w:i/>
                  <w:iCs/>
                  <w:color w:val="000000" w:themeColor="text1"/>
                  <w:sz w:val="20"/>
                </w:rPr>
                <w:t>Association</w:t>
              </w:r>
              <w:proofErr w:type="spellEnd"/>
              <w:r w:rsidR="00A80EFB" w:rsidRPr="00CA656C">
                <w:rPr>
                  <w:rStyle w:val="Hypertextovodkaz"/>
                  <w:rFonts w:asciiTheme="minorHAnsi" w:hAnsiTheme="minorHAnsi"/>
                  <w:b/>
                  <w:i/>
                  <w:iCs/>
                  <w:color w:val="000000" w:themeColor="text1"/>
                  <w:sz w:val="20"/>
                </w:rPr>
                <w:t xml:space="preserve"> de </w:t>
              </w:r>
              <w:proofErr w:type="spellStart"/>
              <w:r w:rsidR="00A80EFB" w:rsidRPr="00CA656C">
                <w:rPr>
                  <w:rStyle w:val="Hypertextovodkaz"/>
                  <w:rFonts w:asciiTheme="minorHAnsi" w:hAnsiTheme="minorHAnsi"/>
                  <w:b/>
                  <w:i/>
                  <w:iCs/>
                  <w:color w:val="000000" w:themeColor="text1"/>
                  <w:sz w:val="20"/>
                </w:rPr>
                <w:t>mediation</w:t>
              </w:r>
              <w:proofErr w:type="spellEnd"/>
              <w:r w:rsidR="00A80EFB" w:rsidRPr="00CA656C">
                <w:rPr>
                  <w:rStyle w:val="Hypertextovodkaz"/>
                  <w:rFonts w:asciiTheme="minorHAnsi" w:hAnsiTheme="minorHAnsi"/>
                  <w:b/>
                  <w:i/>
                  <w:iCs/>
                  <w:color w:val="000000" w:themeColor="text1"/>
                  <w:sz w:val="20"/>
                </w:rPr>
                <w:t xml:space="preserve"> </w:t>
              </w:r>
              <w:proofErr w:type="spellStart"/>
              <w:r w:rsidR="00A80EFB" w:rsidRPr="00CA656C">
                <w:rPr>
                  <w:rStyle w:val="Hypertextovodkaz"/>
                  <w:rFonts w:asciiTheme="minorHAnsi" w:hAnsiTheme="minorHAnsi"/>
                  <w:b/>
                  <w:i/>
                  <w:iCs/>
                  <w:color w:val="000000" w:themeColor="text1"/>
                  <w:sz w:val="20"/>
                </w:rPr>
                <w:t>sociale</w:t>
              </w:r>
              <w:proofErr w:type="spellEnd"/>
              <w:r w:rsidR="00A80EFB" w:rsidRPr="00CA656C">
                <w:rPr>
                  <w:rStyle w:val="Hypertextovodkaz"/>
                  <w:rFonts w:asciiTheme="minorHAnsi" w:hAnsiTheme="minorHAnsi"/>
                  <w:b/>
                  <w:i/>
                  <w:iCs/>
                  <w:color w:val="000000" w:themeColor="text1"/>
                  <w:sz w:val="20"/>
                </w:rPr>
                <w:t xml:space="preserve"> v. Union </w:t>
              </w:r>
              <w:proofErr w:type="spellStart"/>
              <w:r w:rsidR="00A80EFB" w:rsidRPr="00CA656C">
                <w:rPr>
                  <w:rStyle w:val="Hypertextovodkaz"/>
                  <w:rFonts w:asciiTheme="minorHAnsi" w:hAnsiTheme="minorHAnsi"/>
                  <w:b/>
                  <w:i/>
                  <w:iCs/>
                  <w:color w:val="000000" w:themeColor="text1"/>
                  <w:sz w:val="20"/>
                </w:rPr>
                <w:t>locale</w:t>
              </w:r>
              <w:proofErr w:type="spellEnd"/>
              <w:r w:rsidR="00A80EFB" w:rsidRPr="00CA656C">
                <w:rPr>
                  <w:rStyle w:val="Hypertextovodkaz"/>
                  <w:rFonts w:asciiTheme="minorHAnsi" w:hAnsiTheme="minorHAnsi"/>
                  <w:b/>
                  <w:i/>
                  <w:iCs/>
                  <w:color w:val="000000" w:themeColor="text1"/>
                  <w:sz w:val="20"/>
                </w:rPr>
                <w:t xml:space="preserve"> des </w:t>
              </w:r>
              <w:proofErr w:type="spellStart"/>
              <w:r w:rsidR="00A80EFB" w:rsidRPr="00CA656C">
                <w:rPr>
                  <w:rStyle w:val="Hypertextovodkaz"/>
                  <w:rFonts w:asciiTheme="minorHAnsi" w:hAnsiTheme="minorHAnsi"/>
                  <w:b/>
                  <w:i/>
                  <w:iCs/>
                  <w:color w:val="000000" w:themeColor="text1"/>
                  <w:sz w:val="20"/>
                </w:rPr>
                <w:t>syndicats</w:t>
              </w:r>
              <w:proofErr w:type="spellEnd"/>
              <w:r w:rsidR="00A80EFB" w:rsidRPr="00CA656C">
                <w:rPr>
                  <w:rStyle w:val="Hypertextovodkaz"/>
                  <w:rFonts w:asciiTheme="minorHAnsi" w:hAnsiTheme="minorHAnsi"/>
                  <w:b/>
                  <w:i/>
                  <w:iCs/>
                  <w:color w:val="000000" w:themeColor="text1"/>
                  <w:sz w:val="20"/>
                </w:rPr>
                <w:t xml:space="preserve"> CGT</w:t>
              </w:r>
              <w:r w:rsidR="00460264" w:rsidRPr="00CA656C">
                <w:rPr>
                  <w:rStyle w:val="Hypertextovodkaz"/>
                  <w:rFonts w:asciiTheme="minorHAnsi" w:hAnsiTheme="minorHAnsi"/>
                  <w:b/>
                  <w:i/>
                  <w:iCs/>
                  <w:color w:val="000000" w:themeColor="text1"/>
                  <w:sz w:val="20"/>
                </w:rPr>
                <w:t xml:space="preserve"> a </w:t>
              </w:r>
              <w:r w:rsidR="00A80EFB" w:rsidRPr="00CA656C">
                <w:rPr>
                  <w:rStyle w:val="Hypertextovodkaz"/>
                  <w:rFonts w:asciiTheme="minorHAnsi" w:hAnsiTheme="minorHAnsi"/>
                  <w:b/>
                  <w:i/>
                  <w:iCs/>
                  <w:color w:val="000000" w:themeColor="text1"/>
                  <w:sz w:val="20"/>
                </w:rPr>
                <w:t>ostatní</w:t>
              </w:r>
              <w:r w:rsidR="00A80EFB" w:rsidRPr="00CA656C">
                <w:rPr>
                  <w:rStyle w:val="Hypertextovodkaz"/>
                  <w:rFonts w:asciiTheme="minorHAnsi" w:hAnsiTheme="minorHAnsi"/>
                  <w:b/>
                  <w:color w:val="000000" w:themeColor="text1"/>
                  <w:sz w:val="20"/>
                </w:rPr>
                <w:t>, C-176/12, ECLI:EU:</w:t>
              </w:r>
              <w:r w:rsidR="00A80EFB" w:rsidRPr="00CA656C">
                <w:rPr>
                  <w:rStyle w:val="Hypertextovodkaz"/>
                  <w:color w:val="000000" w:themeColor="text1"/>
                </w:rPr>
                <w:t xml:space="preserve"> </w:t>
              </w:r>
              <w:r w:rsidR="00A80EFB" w:rsidRPr="00CA656C">
                <w:rPr>
                  <w:rStyle w:val="Hypertextovodkaz"/>
                  <w:rFonts w:asciiTheme="minorHAnsi" w:hAnsiTheme="minorHAnsi"/>
                  <w:b/>
                  <w:color w:val="000000" w:themeColor="text1"/>
                  <w:sz w:val="20"/>
                </w:rPr>
                <w:t>C:2014:2</w:t>
              </w:r>
            </w:hyperlink>
          </w:p>
          <w:p w14:paraId="5B31AC76" w14:textId="77777777" w:rsidR="00A80EFB" w:rsidRPr="007D56D6" w:rsidRDefault="00A80EFB" w:rsidP="00A80EFB">
            <w:pPr>
              <w:spacing w:line="276" w:lineRule="auto"/>
              <w:jc w:val="both"/>
              <w:rPr>
                <w:rFonts w:asciiTheme="minorHAnsi" w:hAnsiTheme="minorHAnsi" w:cstheme="minorHAnsi"/>
                <w:sz w:val="20"/>
                <w:szCs w:val="20"/>
                <w:lang w:val="fr-FR"/>
              </w:rPr>
            </w:pPr>
          </w:p>
          <w:p w14:paraId="1BB21F4F" w14:textId="77777777" w:rsidR="00A80EFB" w:rsidRPr="0027595F" w:rsidRDefault="00A80EFB" w:rsidP="00A80EFB">
            <w:pPr>
              <w:spacing w:line="276" w:lineRule="auto"/>
              <w:jc w:val="both"/>
              <w:rPr>
                <w:rFonts w:asciiTheme="minorHAnsi" w:hAnsiTheme="minorHAnsi" w:cstheme="minorHAnsi"/>
                <w:sz w:val="20"/>
                <w:szCs w:val="20"/>
              </w:rPr>
            </w:pPr>
            <w:r>
              <w:rPr>
                <w:rFonts w:asciiTheme="minorHAnsi" w:hAnsiTheme="minorHAnsi"/>
                <w:sz w:val="20"/>
              </w:rPr>
              <w:t>Listina nemůže být použita přímo soukromou osobou proti jiné osobě:</w:t>
            </w:r>
          </w:p>
          <w:p w14:paraId="1B67D785" w14:textId="77777777" w:rsidR="00A80EFB" w:rsidRDefault="00A80EFB" w:rsidP="00A80EFB">
            <w:pPr>
              <w:spacing w:line="276" w:lineRule="auto"/>
              <w:jc w:val="both"/>
              <w:rPr>
                <w:rFonts w:asciiTheme="minorHAnsi" w:hAnsiTheme="minorHAnsi"/>
                <w:sz w:val="20"/>
              </w:rPr>
            </w:pPr>
            <w:r>
              <w:rPr>
                <w:rFonts w:asciiTheme="minorHAnsi" w:hAnsiTheme="minorHAnsi"/>
                <w:sz w:val="20"/>
              </w:rPr>
              <w:t>Věc se týká směrnice Evropského parlamentu</w:t>
            </w:r>
            <w:r w:rsidR="00460264">
              <w:rPr>
                <w:rFonts w:asciiTheme="minorHAnsi" w:hAnsiTheme="minorHAnsi"/>
                <w:sz w:val="20"/>
              </w:rPr>
              <w:t xml:space="preserve"> a </w:t>
            </w:r>
            <w:r>
              <w:rPr>
                <w:rFonts w:asciiTheme="minorHAnsi" w:hAnsiTheme="minorHAnsi"/>
                <w:sz w:val="20"/>
              </w:rPr>
              <w:t>Rady 2002/14/ES ze dne 11. března 2002, kterou se stanoví obecný rámec pro informování zaměstnanců</w:t>
            </w:r>
            <w:r w:rsidR="00460264">
              <w:rPr>
                <w:rFonts w:asciiTheme="minorHAnsi" w:hAnsiTheme="minorHAnsi"/>
                <w:sz w:val="20"/>
              </w:rPr>
              <w:t xml:space="preserve"> a </w:t>
            </w:r>
            <w:r>
              <w:rPr>
                <w:rFonts w:asciiTheme="minorHAnsi" w:hAnsiTheme="minorHAnsi"/>
                <w:sz w:val="20"/>
              </w:rPr>
              <w:t>projednávání se zaměstnanci</w:t>
            </w:r>
            <w:r w:rsidR="00460264">
              <w:rPr>
                <w:rFonts w:asciiTheme="minorHAnsi" w:hAnsiTheme="minorHAnsi"/>
                <w:sz w:val="20"/>
              </w:rPr>
              <w:t xml:space="preserve"> v </w:t>
            </w:r>
            <w:r>
              <w:rPr>
                <w:rFonts w:asciiTheme="minorHAnsi" w:hAnsiTheme="minorHAnsi"/>
                <w:sz w:val="20"/>
              </w:rPr>
              <w:t>Evropském společenství</w:t>
            </w:r>
            <w:r w:rsidR="00460264">
              <w:rPr>
                <w:rFonts w:asciiTheme="minorHAnsi" w:hAnsiTheme="minorHAnsi"/>
                <w:sz w:val="20"/>
              </w:rPr>
              <w:t xml:space="preserve"> a </w:t>
            </w:r>
            <w:r>
              <w:rPr>
                <w:rFonts w:asciiTheme="minorHAnsi" w:hAnsiTheme="minorHAnsi"/>
                <w:sz w:val="20"/>
              </w:rPr>
              <w:t>okruh osob, které je třeba zohlednit při stanovení počtu zaměstnanců podniku.</w:t>
            </w:r>
          </w:p>
          <w:p w14:paraId="79C3B72B" w14:textId="77777777" w:rsidR="0048041D" w:rsidRPr="0027595F" w:rsidRDefault="0048041D" w:rsidP="00A80EFB">
            <w:pPr>
              <w:spacing w:line="276" w:lineRule="auto"/>
              <w:jc w:val="both"/>
              <w:rPr>
                <w:rFonts w:asciiTheme="minorHAnsi" w:hAnsiTheme="minorHAnsi" w:cstheme="minorHAnsi"/>
                <w:sz w:val="20"/>
                <w:szCs w:val="20"/>
              </w:rPr>
            </w:pPr>
          </w:p>
          <w:p w14:paraId="6456F31E" w14:textId="77777777" w:rsidR="00A80EFB" w:rsidRDefault="00A80EFB" w:rsidP="00A80EFB">
            <w:pPr>
              <w:spacing w:line="276" w:lineRule="auto"/>
              <w:jc w:val="both"/>
              <w:rPr>
                <w:rFonts w:asciiTheme="minorHAnsi" w:hAnsiTheme="minorHAnsi" w:cstheme="minorHAnsi"/>
                <w:sz w:val="20"/>
                <w:szCs w:val="20"/>
              </w:rPr>
            </w:pPr>
            <w:r>
              <w:rPr>
                <w:rFonts w:asciiTheme="minorHAnsi" w:hAnsiTheme="minorHAnsi"/>
                <w:sz w:val="20"/>
              </w:rPr>
              <w:t>Článek 27 Listiny,</w:t>
            </w:r>
            <w:r w:rsidR="00460264">
              <w:rPr>
                <w:rFonts w:asciiTheme="minorHAnsi" w:hAnsiTheme="minorHAnsi"/>
                <w:sz w:val="20"/>
              </w:rPr>
              <w:t xml:space="preserve"> s </w:t>
            </w:r>
            <w:r>
              <w:rPr>
                <w:rFonts w:asciiTheme="minorHAnsi" w:hAnsiTheme="minorHAnsi"/>
                <w:sz w:val="20"/>
              </w:rPr>
              <w:t>názvem „Právo pracovníka na informování</w:t>
            </w:r>
            <w:r w:rsidR="00460264">
              <w:rPr>
                <w:rFonts w:asciiTheme="minorHAnsi" w:hAnsiTheme="minorHAnsi"/>
                <w:sz w:val="20"/>
              </w:rPr>
              <w:t xml:space="preserve"> a </w:t>
            </w:r>
            <w:r>
              <w:rPr>
                <w:rFonts w:asciiTheme="minorHAnsi" w:hAnsiTheme="minorHAnsi"/>
                <w:sz w:val="20"/>
              </w:rPr>
              <w:t>na projednávání</w:t>
            </w:r>
            <w:r w:rsidR="00460264">
              <w:rPr>
                <w:rFonts w:asciiTheme="minorHAnsi" w:hAnsiTheme="minorHAnsi"/>
                <w:sz w:val="20"/>
              </w:rPr>
              <w:t xml:space="preserve"> v </w:t>
            </w:r>
            <w:r>
              <w:rPr>
                <w:rFonts w:asciiTheme="minorHAnsi" w:hAnsiTheme="minorHAnsi"/>
                <w:sz w:val="20"/>
              </w:rPr>
              <w:t>podniku“, stanoví, že pracovníci musí mít na vhodných úrovních zaručeno právo na včasné informování</w:t>
            </w:r>
            <w:r w:rsidR="00460264">
              <w:rPr>
                <w:rFonts w:asciiTheme="minorHAnsi" w:hAnsiTheme="minorHAnsi"/>
                <w:sz w:val="20"/>
              </w:rPr>
              <w:t xml:space="preserve"> a </w:t>
            </w:r>
            <w:r>
              <w:rPr>
                <w:rFonts w:asciiTheme="minorHAnsi" w:hAnsiTheme="minorHAnsi"/>
                <w:sz w:val="20"/>
              </w:rPr>
              <w:t>projednávání</w:t>
            </w:r>
            <w:r w:rsidR="00460264">
              <w:rPr>
                <w:rFonts w:asciiTheme="minorHAnsi" w:hAnsiTheme="minorHAnsi"/>
                <w:sz w:val="20"/>
              </w:rPr>
              <w:t xml:space="preserve"> v </w:t>
            </w:r>
            <w:r>
              <w:rPr>
                <w:rFonts w:asciiTheme="minorHAnsi" w:hAnsiTheme="minorHAnsi"/>
                <w:sz w:val="20"/>
              </w:rPr>
              <w:t>případech</w:t>
            </w:r>
            <w:r w:rsidR="00460264">
              <w:rPr>
                <w:rFonts w:asciiTheme="minorHAnsi" w:hAnsiTheme="minorHAnsi"/>
                <w:sz w:val="20"/>
              </w:rPr>
              <w:t xml:space="preserve"> a </w:t>
            </w:r>
            <w:r>
              <w:rPr>
                <w:rFonts w:asciiTheme="minorHAnsi" w:hAnsiTheme="minorHAnsi"/>
                <w:sz w:val="20"/>
              </w:rPr>
              <w:t>za podmínek, které stanoví právo Unie</w:t>
            </w:r>
            <w:r w:rsidR="00460264">
              <w:rPr>
                <w:rFonts w:asciiTheme="minorHAnsi" w:hAnsiTheme="minorHAnsi"/>
                <w:sz w:val="20"/>
              </w:rPr>
              <w:t xml:space="preserve"> a </w:t>
            </w:r>
            <w:r>
              <w:rPr>
                <w:rFonts w:asciiTheme="minorHAnsi" w:hAnsiTheme="minorHAnsi"/>
                <w:sz w:val="20"/>
              </w:rPr>
              <w:t>vnitrostátní právní předpisy</w:t>
            </w:r>
            <w:r w:rsidR="00460264">
              <w:rPr>
                <w:rFonts w:asciiTheme="minorHAnsi" w:hAnsiTheme="minorHAnsi"/>
                <w:sz w:val="20"/>
              </w:rPr>
              <w:t xml:space="preserve"> a </w:t>
            </w:r>
            <w:r>
              <w:rPr>
                <w:rFonts w:asciiTheme="minorHAnsi" w:hAnsiTheme="minorHAnsi"/>
                <w:sz w:val="20"/>
              </w:rPr>
              <w:t>zvyklosti. Aby měl tento článek plný účinek, musí být upřesněn ustanoveními unijního nebo vnitrostátního práva.  Ukáže-li se, že takové vnitrostátní ustanovení provádějící tuto směrnici, jako je článek L. 1111-3 francouzského zákoníku práce, je neslučitelné</w:t>
            </w:r>
            <w:r w:rsidR="00460264">
              <w:rPr>
                <w:rFonts w:asciiTheme="minorHAnsi" w:hAnsiTheme="minorHAnsi"/>
                <w:sz w:val="20"/>
              </w:rPr>
              <w:t xml:space="preserve"> s </w:t>
            </w:r>
            <w:r>
              <w:rPr>
                <w:rFonts w:asciiTheme="minorHAnsi" w:hAnsiTheme="minorHAnsi"/>
                <w:sz w:val="20"/>
              </w:rPr>
              <w:t>unijním právem, nelze se tohoto článku Listiny dovolávat ve sporu mezi jednotlivci</w:t>
            </w:r>
            <w:r w:rsidR="00460264">
              <w:rPr>
                <w:rFonts w:asciiTheme="minorHAnsi" w:hAnsiTheme="minorHAnsi"/>
                <w:sz w:val="20"/>
              </w:rPr>
              <w:t xml:space="preserve"> s </w:t>
            </w:r>
            <w:r>
              <w:rPr>
                <w:rFonts w:asciiTheme="minorHAnsi" w:hAnsiTheme="minorHAnsi"/>
                <w:sz w:val="20"/>
              </w:rPr>
              <w:t>cílem, aby uvedené vnitrostátní ustanovení nebylo použito.</w:t>
            </w:r>
          </w:p>
          <w:p w14:paraId="76B9A188" w14:textId="77777777" w:rsidR="0049009B" w:rsidRPr="007D56D6" w:rsidRDefault="0049009B" w:rsidP="00A80EFB">
            <w:pPr>
              <w:spacing w:line="276" w:lineRule="auto"/>
              <w:jc w:val="both"/>
              <w:rPr>
                <w:rFonts w:asciiTheme="minorHAnsi" w:hAnsiTheme="minorHAnsi" w:cstheme="minorHAnsi"/>
                <w:sz w:val="20"/>
                <w:szCs w:val="20"/>
              </w:rPr>
            </w:pPr>
          </w:p>
          <w:p w14:paraId="4A76E43A" w14:textId="77777777" w:rsidR="0049009B" w:rsidRDefault="0049009B" w:rsidP="0049009B">
            <w:pPr>
              <w:spacing w:line="276" w:lineRule="auto"/>
              <w:jc w:val="both"/>
              <w:rPr>
                <w:rFonts w:asciiTheme="minorHAnsi" w:hAnsiTheme="minorHAnsi"/>
                <w:sz w:val="20"/>
              </w:rPr>
            </w:pPr>
            <w:r>
              <w:rPr>
                <w:rFonts w:asciiTheme="minorHAnsi" w:hAnsiTheme="minorHAnsi"/>
                <w:sz w:val="20"/>
              </w:rPr>
              <w:t>Jedná se</w:t>
            </w:r>
            <w:r w:rsidR="00460264">
              <w:rPr>
                <w:rFonts w:asciiTheme="minorHAnsi" w:hAnsiTheme="minorHAnsi"/>
                <w:sz w:val="20"/>
              </w:rPr>
              <w:t xml:space="preserve"> o </w:t>
            </w:r>
            <w:r>
              <w:rPr>
                <w:rFonts w:asciiTheme="minorHAnsi" w:hAnsiTheme="minorHAnsi"/>
                <w:sz w:val="20"/>
              </w:rPr>
              <w:t>spor mezi odborovými svazy</w:t>
            </w:r>
            <w:r w:rsidR="00460264">
              <w:rPr>
                <w:rFonts w:asciiTheme="minorHAnsi" w:hAnsiTheme="minorHAnsi"/>
                <w:sz w:val="20"/>
              </w:rPr>
              <w:t xml:space="preserve"> a </w:t>
            </w:r>
            <w:r>
              <w:rPr>
                <w:rFonts w:asciiTheme="minorHAnsi" w:hAnsiTheme="minorHAnsi"/>
                <w:sz w:val="20"/>
              </w:rPr>
              <w:t xml:space="preserve">jejich zaměstnavatelem, sdružením </w:t>
            </w:r>
            <w:proofErr w:type="spellStart"/>
            <w:r>
              <w:rPr>
                <w:rFonts w:asciiTheme="minorHAnsi" w:hAnsiTheme="minorHAnsi"/>
                <w:sz w:val="20"/>
              </w:rPr>
              <w:t>Association</w:t>
            </w:r>
            <w:proofErr w:type="spellEnd"/>
            <w:r>
              <w:rPr>
                <w:rFonts w:asciiTheme="minorHAnsi" w:hAnsiTheme="minorHAnsi"/>
                <w:sz w:val="20"/>
              </w:rPr>
              <w:t xml:space="preserve"> de </w:t>
            </w:r>
            <w:proofErr w:type="spellStart"/>
            <w:r>
              <w:rPr>
                <w:rFonts w:asciiTheme="minorHAnsi" w:hAnsiTheme="minorHAnsi"/>
                <w:sz w:val="20"/>
              </w:rPr>
              <w:t>Médiation</w:t>
            </w:r>
            <w:proofErr w:type="spellEnd"/>
            <w:r>
              <w:rPr>
                <w:rFonts w:asciiTheme="minorHAnsi" w:hAnsiTheme="minorHAnsi"/>
                <w:sz w:val="20"/>
              </w:rPr>
              <w:t xml:space="preserve"> </w:t>
            </w:r>
            <w:proofErr w:type="spellStart"/>
            <w:r>
              <w:rPr>
                <w:rFonts w:asciiTheme="minorHAnsi" w:hAnsiTheme="minorHAnsi"/>
                <w:sz w:val="20"/>
              </w:rPr>
              <w:t>Sociale</w:t>
            </w:r>
            <w:proofErr w:type="spellEnd"/>
            <w:r>
              <w:rPr>
                <w:rFonts w:asciiTheme="minorHAnsi" w:hAnsiTheme="minorHAnsi"/>
                <w:sz w:val="20"/>
              </w:rPr>
              <w:t>, týkající se zřízení zastoupení zaměstnanců, jako je volba zástupce zaměstnanců. Sdružení má za to, že má méně než jedenáct zaměstnanců</w:t>
            </w:r>
            <w:r w:rsidR="00460264">
              <w:rPr>
                <w:rFonts w:asciiTheme="minorHAnsi" w:hAnsiTheme="minorHAnsi"/>
                <w:sz w:val="20"/>
              </w:rPr>
              <w:t xml:space="preserve"> a </w:t>
            </w:r>
            <w:proofErr w:type="spellStart"/>
            <w:r>
              <w:rPr>
                <w:rFonts w:asciiTheme="minorHAnsi" w:hAnsiTheme="minorHAnsi"/>
                <w:sz w:val="20"/>
              </w:rPr>
              <w:t>a</w:t>
            </w:r>
            <w:proofErr w:type="spellEnd"/>
            <w:r>
              <w:rPr>
                <w:rFonts w:asciiTheme="minorHAnsi" w:hAnsiTheme="minorHAnsi"/>
                <w:sz w:val="20"/>
              </w:rPr>
              <w:t xml:space="preserve"> </w:t>
            </w:r>
            <w:proofErr w:type="spellStart"/>
            <w:r>
              <w:rPr>
                <w:rFonts w:asciiTheme="minorHAnsi" w:hAnsiTheme="minorHAnsi"/>
                <w:sz w:val="20"/>
              </w:rPr>
              <w:t>fortiori</w:t>
            </w:r>
            <w:proofErr w:type="spellEnd"/>
            <w:r>
              <w:rPr>
                <w:rFonts w:asciiTheme="minorHAnsi" w:hAnsiTheme="minorHAnsi"/>
                <w:sz w:val="20"/>
              </w:rPr>
              <w:t xml:space="preserve"> méně než padesát zaměstnanců,</w:t>
            </w:r>
            <w:r w:rsidR="00460264">
              <w:rPr>
                <w:rFonts w:asciiTheme="minorHAnsi" w:hAnsiTheme="minorHAnsi"/>
                <w:sz w:val="20"/>
              </w:rPr>
              <w:t xml:space="preserve"> a </w:t>
            </w:r>
            <w:r>
              <w:rPr>
                <w:rFonts w:asciiTheme="minorHAnsi" w:hAnsiTheme="minorHAnsi"/>
                <w:sz w:val="20"/>
              </w:rPr>
              <w:t>v důsledku toho není podle francouzské právní úpravy povinno uspořádat volby zástupce zaměstnanců. Domnívá se, že</w:t>
            </w:r>
            <w:r w:rsidR="00460264">
              <w:rPr>
                <w:rFonts w:asciiTheme="minorHAnsi" w:hAnsiTheme="minorHAnsi"/>
                <w:sz w:val="20"/>
              </w:rPr>
              <w:t xml:space="preserve"> v </w:t>
            </w:r>
            <w:r>
              <w:rPr>
                <w:rFonts w:asciiTheme="minorHAnsi" w:hAnsiTheme="minorHAnsi"/>
                <w:sz w:val="20"/>
              </w:rPr>
              <w:t>souladu</w:t>
            </w:r>
            <w:r w:rsidR="00460264">
              <w:rPr>
                <w:rFonts w:asciiTheme="minorHAnsi" w:hAnsiTheme="minorHAnsi"/>
                <w:sz w:val="20"/>
              </w:rPr>
              <w:t xml:space="preserve"> s </w:t>
            </w:r>
            <w:r>
              <w:rPr>
                <w:rFonts w:asciiTheme="minorHAnsi" w:hAnsiTheme="minorHAnsi"/>
                <w:sz w:val="20"/>
              </w:rPr>
              <w:t>článkem L. 1111-3 francouzského zákoníku práce, nejsou při stanovení počtu zaměstnanců zohledněni učni, osoby, se kterými je uzavřena smlouva na podporu zaměstnanosti</w:t>
            </w:r>
            <w:r w:rsidR="00460264">
              <w:rPr>
                <w:rFonts w:asciiTheme="minorHAnsi" w:hAnsiTheme="minorHAnsi"/>
                <w:sz w:val="20"/>
              </w:rPr>
              <w:t xml:space="preserve"> v </w:t>
            </w:r>
            <w:r>
              <w:rPr>
                <w:rFonts w:asciiTheme="minorHAnsi" w:hAnsiTheme="minorHAnsi"/>
                <w:sz w:val="20"/>
              </w:rPr>
              <w:t>soukromém sektoru, osoby, se kterými je uzavřena smlouva na podporu zaměstnanosti ve veřejném sektoru</w:t>
            </w:r>
            <w:r w:rsidR="00460264">
              <w:rPr>
                <w:rFonts w:asciiTheme="minorHAnsi" w:hAnsiTheme="minorHAnsi"/>
                <w:sz w:val="20"/>
              </w:rPr>
              <w:t xml:space="preserve"> a </w:t>
            </w:r>
            <w:r>
              <w:rPr>
                <w:rFonts w:asciiTheme="minorHAnsi" w:hAnsiTheme="minorHAnsi"/>
                <w:sz w:val="20"/>
              </w:rPr>
              <w:t>sektoru veřejného zájmu,</w:t>
            </w:r>
            <w:r w:rsidR="00460264">
              <w:rPr>
                <w:rFonts w:asciiTheme="minorHAnsi" w:hAnsiTheme="minorHAnsi"/>
                <w:sz w:val="20"/>
              </w:rPr>
              <w:t xml:space="preserve"> a </w:t>
            </w:r>
            <w:r>
              <w:rPr>
                <w:rFonts w:asciiTheme="minorHAnsi" w:hAnsiTheme="minorHAnsi"/>
                <w:sz w:val="20"/>
              </w:rPr>
              <w:t>osoby, se kterými je uzavřena smlouva</w:t>
            </w:r>
            <w:r w:rsidR="00460264">
              <w:rPr>
                <w:rFonts w:asciiTheme="minorHAnsi" w:hAnsiTheme="minorHAnsi"/>
                <w:sz w:val="20"/>
              </w:rPr>
              <w:t xml:space="preserve"> o </w:t>
            </w:r>
            <w:r>
              <w:rPr>
                <w:rFonts w:asciiTheme="minorHAnsi" w:hAnsiTheme="minorHAnsi"/>
                <w:sz w:val="20"/>
              </w:rPr>
              <w:t>zvyšování odborné kvalifikace. Sdružení AMS zpochybňuje takové jmenování.</w:t>
            </w:r>
            <w:r w:rsidR="0048041D">
              <w:rPr>
                <w:rFonts w:asciiTheme="minorHAnsi" w:hAnsiTheme="minorHAnsi"/>
                <w:sz w:val="20"/>
              </w:rPr>
              <w:t xml:space="preserve"> </w:t>
            </w:r>
            <w:r>
              <w:rPr>
                <w:rFonts w:asciiTheme="minorHAnsi" w:hAnsiTheme="minorHAnsi"/>
                <w:sz w:val="20"/>
              </w:rPr>
              <w:t>Má za to, že má méně než jedenáct zaměstnanců</w:t>
            </w:r>
            <w:r w:rsidR="00460264">
              <w:rPr>
                <w:rFonts w:asciiTheme="minorHAnsi" w:hAnsiTheme="minorHAnsi"/>
                <w:sz w:val="20"/>
              </w:rPr>
              <w:t xml:space="preserve"> a </w:t>
            </w:r>
            <w:proofErr w:type="spellStart"/>
            <w:r>
              <w:rPr>
                <w:rFonts w:asciiTheme="minorHAnsi" w:hAnsiTheme="minorHAnsi"/>
                <w:sz w:val="20"/>
              </w:rPr>
              <w:t>a</w:t>
            </w:r>
            <w:proofErr w:type="spellEnd"/>
            <w:r>
              <w:rPr>
                <w:rFonts w:asciiTheme="minorHAnsi" w:hAnsiTheme="minorHAnsi"/>
                <w:sz w:val="20"/>
              </w:rPr>
              <w:t xml:space="preserve"> </w:t>
            </w:r>
            <w:proofErr w:type="spellStart"/>
            <w:r>
              <w:rPr>
                <w:rFonts w:asciiTheme="minorHAnsi" w:hAnsiTheme="minorHAnsi"/>
                <w:sz w:val="20"/>
              </w:rPr>
              <w:t>fortiori</w:t>
            </w:r>
            <w:proofErr w:type="spellEnd"/>
            <w:r>
              <w:rPr>
                <w:rFonts w:asciiTheme="minorHAnsi" w:hAnsiTheme="minorHAnsi"/>
                <w:sz w:val="20"/>
              </w:rPr>
              <w:t xml:space="preserve"> méně než padesát zaměstnanců,</w:t>
            </w:r>
            <w:r w:rsidR="00460264">
              <w:rPr>
                <w:rFonts w:asciiTheme="minorHAnsi" w:hAnsiTheme="minorHAnsi"/>
                <w:sz w:val="20"/>
              </w:rPr>
              <w:t xml:space="preserve"> a </w:t>
            </w:r>
            <w:r>
              <w:rPr>
                <w:rFonts w:asciiTheme="minorHAnsi" w:hAnsiTheme="minorHAnsi"/>
                <w:sz w:val="20"/>
              </w:rPr>
              <w:t xml:space="preserve">v důsledku toho není podle relevantní vnitrostátní právní úpravy povinno přijímat taková opatření za účelem zastupování zaměstnanců, jako je volba zástupce zaměstnanců. </w:t>
            </w:r>
            <w:r w:rsidR="00460264">
              <w:rPr>
                <w:rFonts w:asciiTheme="minorHAnsi" w:hAnsiTheme="minorHAnsi"/>
                <w:sz w:val="20"/>
              </w:rPr>
              <w:t xml:space="preserve"> K </w:t>
            </w:r>
            <w:r>
              <w:rPr>
                <w:rFonts w:asciiTheme="minorHAnsi" w:hAnsiTheme="minorHAnsi"/>
                <w:sz w:val="20"/>
              </w:rPr>
              <w:t>určení toho, zda sdružení dosahuje těchto prahových hodnot ve výši jedenácti nebo padesáti zaměstnanců, je totiž podle AMS třeba ze stanovení počtu jeho zaměstnanců vyloučit podle článku L. 1111-3 zákoníku práce učně, zaměstnance, se kterými je uzavřena smlouva na podporu zaměstnanosti</w:t>
            </w:r>
            <w:r w:rsidR="00460264">
              <w:rPr>
                <w:rFonts w:asciiTheme="minorHAnsi" w:hAnsiTheme="minorHAnsi"/>
                <w:sz w:val="20"/>
              </w:rPr>
              <w:t xml:space="preserve"> v </w:t>
            </w:r>
            <w:r>
              <w:rPr>
                <w:rFonts w:asciiTheme="minorHAnsi" w:hAnsiTheme="minorHAnsi"/>
                <w:sz w:val="20"/>
              </w:rPr>
              <w:t>soukromém sektoru nebo smlouva na podporu zaměstnanosti ve veřejném sektoru</w:t>
            </w:r>
            <w:r w:rsidR="00460264">
              <w:rPr>
                <w:rFonts w:asciiTheme="minorHAnsi" w:hAnsiTheme="minorHAnsi"/>
                <w:sz w:val="20"/>
              </w:rPr>
              <w:t xml:space="preserve"> a </w:t>
            </w:r>
            <w:r>
              <w:rPr>
                <w:rFonts w:asciiTheme="minorHAnsi" w:hAnsiTheme="minorHAnsi"/>
                <w:sz w:val="20"/>
              </w:rPr>
              <w:t>v sektoru veřejného zájmu, jakož</w:t>
            </w:r>
            <w:r w:rsidR="00460264">
              <w:rPr>
                <w:rFonts w:asciiTheme="minorHAnsi" w:hAnsiTheme="minorHAnsi"/>
                <w:sz w:val="20"/>
              </w:rPr>
              <w:t xml:space="preserve"> i </w:t>
            </w:r>
            <w:r>
              <w:rPr>
                <w:rFonts w:asciiTheme="minorHAnsi" w:hAnsiTheme="minorHAnsi"/>
                <w:sz w:val="20"/>
              </w:rPr>
              <w:t>zaměstnance, se kterými je uzavřena smlouva</w:t>
            </w:r>
            <w:r w:rsidR="00460264">
              <w:rPr>
                <w:rFonts w:asciiTheme="minorHAnsi" w:hAnsiTheme="minorHAnsi"/>
                <w:sz w:val="20"/>
              </w:rPr>
              <w:t xml:space="preserve"> o </w:t>
            </w:r>
            <w:r>
              <w:rPr>
                <w:rFonts w:asciiTheme="minorHAnsi" w:hAnsiTheme="minorHAnsi"/>
                <w:sz w:val="20"/>
              </w:rPr>
              <w:t>zvyšování odborné kvalifikace (dále jen „zaměstnanci,</w:t>
            </w:r>
            <w:r w:rsidR="00460264">
              <w:rPr>
                <w:rFonts w:asciiTheme="minorHAnsi" w:hAnsiTheme="minorHAnsi"/>
                <w:sz w:val="20"/>
              </w:rPr>
              <w:t xml:space="preserve"> s </w:t>
            </w:r>
            <w:r>
              <w:rPr>
                <w:rFonts w:asciiTheme="minorHAnsi" w:hAnsiTheme="minorHAnsi"/>
                <w:sz w:val="20"/>
              </w:rPr>
              <w:t>nimiž jsou uzavřeny asistované smlouvy“).</w:t>
            </w:r>
          </w:p>
          <w:p w14:paraId="4E1E6ECB" w14:textId="77777777" w:rsidR="0048041D" w:rsidRPr="00575BDA" w:rsidRDefault="0048041D" w:rsidP="0049009B">
            <w:pPr>
              <w:spacing w:line="276" w:lineRule="auto"/>
              <w:jc w:val="both"/>
              <w:rPr>
                <w:rFonts w:asciiTheme="minorHAnsi" w:hAnsiTheme="minorHAnsi" w:cstheme="minorHAnsi"/>
                <w:sz w:val="20"/>
                <w:szCs w:val="20"/>
              </w:rPr>
            </w:pPr>
          </w:p>
          <w:p w14:paraId="008D46E7" w14:textId="77777777" w:rsidR="0049009B" w:rsidRDefault="0049009B" w:rsidP="0049009B">
            <w:pPr>
              <w:spacing w:line="276" w:lineRule="auto"/>
              <w:jc w:val="both"/>
              <w:rPr>
                <w:rFonts w:asciiTheme="minorHAnsi" w:hAnsiTheme="minorHAnsi"/>
                <w:sz w:val="20"/>
              </w:rPr>
            </w:pPr>
            <w:r>
              <w:rPr>
                <w:rFonts w:asciiTheme="minorHAnsi" w:hAnsiTheme="minorHAnsi"/>
                <w:sz w:val="20"/>
              </w:rPr>
              <w:t>Ze znění článku 27 Listiny tedy podle soudu jasně vyplývá, že aby měl tento článek plný účinek, musí být upřesněn ustanoveními unijního nebo vnitrostátního práva.</w:t>
            </w:r>
          </w:p>
          <w:p w14:paraId="46E5C7A3" w14:textId="77777777" w:rsidR="0048041D" w:rsidRPr="00575BDA" w:rsidRDefault="0048041D" w:rsidP="0049009B">
            <w:pPr>
              <w:spacing w:line="276" w:lineRule="auto"/>
              <w:jc w:val="both"/>
              <w:rPr>
                <w:rFonts w:asciiTheme="minorHAnsi" w:hAnsiTheme="minorHAnsi" w:cstheme="minorHAnsi"/>
                <w:sz w:val="20"/>
                <w:szCs w:val="20"/>
              </w:rPr>
            </w:pPr>
          </w:p>
          <w:p w14:paraId="78288923" w14:textId="77777777" w:rsidR="0049009B" w:rsidRPr="0049009B" w:rsidRDefault="0049009B" w:rsidP="0049009B">
            <w:pPr>
              <w:spacing w:line="276" w:lineRule="auto"/>
              <w:jc w:val="both"/>
              <w:rPr>
                <w:rFonts w:asciiTheme="minorHAnsi" w:hAnsiTheme="minorHAnsi" w:cstheme="minorHAnsi"/>
                <w:sz w:val="20"/>
                <w:szCs w:val="20"/>
              </w:rPr>
            </w:pPr>
            <w:r>
              <w:rPr>
                <w:rFonts w:asciiTheme="minorHAnsi" w:hAnsiTheme="minorHAnsi"/>
                <w:sz w:val="20"/>
              </w:rPr>
              <w:t>Zákaz stanovený</w:t>
            </w:r>
            <w:r w:rsidR="00460264">
              <w:rPr>
                <w:rFonts w:asciiTheme="minorHAnsi" w:hAnsiTheme="minorHAnsi"/>
                <w:sz w:val="20"/>
              </w:rPr>
              <w:t xml:space="preserve"> v čl. </w:t>
            </w:r>
            <w:r>
              <w:rPr>
                <w:rFonts w:asciiTheme="minorHAnsi" w:hAnsiTheme="minorHAnsi"/>
                <w:sz w:val="20"/>
              </w:rPr>
              <w:t>3 odst. 1 směrnice 2002/14</w:t>
            </w:r>
            <w:r w:rsidR="00460264">
              <w:rPr>
                <w:rFonts w:asciiTheme="minorHAnsi" w:hAnsiTheme="minorHAnsi"/>
                <w:sz w:val="20"/>
              </w:rPr>
              <w:t xml:space="preserve"> a </w:t>
            </w:r>
            <w:r>
              <w:rPr>
                <w:rFonts w:asciiTheme="minorHAnsi" w:hAnsiTheme="minorHAnsi"/>
                <w:sz w:val="20"/>
              </w:rPr>
              <w:t>určený členským státům, aby ze stanovení počtu zaměstnanců podniku vyloučily určitou kategorii zaměstnanců, kteří původně patřili mezi osoby, které je třeba při uvedeném stanovení počtu zohlednit, totiž nelze dovodit jakožto přímo použitelné právní pravidlo ze znění článku 27 Listiny ani</w:t>
            </w:r>
            <w:r w:rsidR="00460264">
              <w:rPr>
                <w:rFonts w:asciiTheme="minorHAnsi" w:hAnsiTheme="minorHAnsi"/>
                <w:sz w:val="20"/>
              </w:rPr>
              <w:t xml:space="preserve"> z </w:t>
            </w:r>
            <w:r>
              <w:rPr>
                <w:rFonts w:asciiTheme="minorHAnsi" w:hAnsiTheme="minorHAnsi"/>
                <w:sz w:val="20"/>
              </w:rPr>
              <w:t>vysvětlení</w:t>
            </w:r>
            <w:r w:rsidR="00460264">
              <w:rPr>
                <w:rFonts w:asciiTheme="minorHAnsi" w:hAnsiTheme="minorHAnsi"/>
                <w:sz w:val="20"/>
              </w:rPr>
              <w:t xml:space="preserve"> k </w:t>
            </w:r>
            <w:r>
              <w:rPr>
                <w:rFonts w:asciiTheme="minorHAnsi" w:hAnsiTheme="minorHAnsi"/>
                <w:sz w:val="20"/>
              </w:rPr>
              <w:t>uvedenému článku.</w:t>
            </w:r>
          </w:p>
        </w:tc>
      </w:tr>
    </w:tbl>
    <w:p w14:paraId="1EF22318" w14:textId="77777777" w:rsidR="00A80EFB" w:rsidRPr="007D56D6" w:rsidRDefault="00A80EFB" w:rsidP="005D75E0">
      <w:pPr>
        <w:spacing w:line="276" w:lineRule="auto"/>
        <w:jc w:val="both"/>
        <w:rPr>
          <w:rFonts w:cstheme="minorHAnsi"/>
        </w:rPr>
      </w:pPr>
    </w:p>
    <w:p w14:paraId="4A390704" w14:textId="77777777" w:rsidR="005D75E0" w:rsidRPr="00674960" w:rsidRDefault="005D75E0" w:rsidP="005D75E0">
      <w:pPr>
        <w:spacing w:line="276" w:lineRule="auto"/>
        <w:jc w:val="both"/>
        <w:rPr>
          <w:rFonts w:cstheme="minorHAnsi"/>
          <w:color w:val="384575"/>
        </w:rPr>
      </w:pPr>
      <w:r w:rsidRPr="00674960">
        <w:rPr>
          <w:color w:val="384575"/>
        </w:rPr>
        <w:t>Podle SDEU se lze ustanovení Listiny, které samo</w:t>
      </w:r>
      <w:r w:rsidR="00460264" w:rsidRPr="00674960">
        <w:rPr>
          <w:color w:val="384575"/>
        </w:rPr>
        <w:t xml:space="preserve"> o </w:t>
      </w:r>
      <w:r w:rsidRPr="00674960">
        <w:rPr>
          <w:color w:val="384575"/>
        </w:rPr>
        <w:t>sobě postačuje</w:t>
      </w:r>
      <w:r w:rsidR="00460264" w:rsidRPr="00674960">
        <w:rPr>
          <w:color w:val="384575"/>
        </w:rPr>
        <w:t xml:space="preserve"> k </w:t>
      </w:r>
      <w:r w:rsidRPr="00674960">
        <w:rPr>
          <w:color w:val="384575"/>
        </w:rPr>
        <w:t>tomu, aby přiznalo právo jednotlivcům, dovolávat</w:t>
      </w:r>
      <w:r w:rsidR="00460264" w:rsidRPr="00674960">
        <w:rPr>
          <w:color w:val="384575"/>
        </w:rPr>
        <w:t xml:space="preserve"> s </w:t>
      </w:r>
      <w:r w:rsidRPr="00674960">
        <w:rPr>
          <w:color w:val="384575"/>
        </w:rPr>
        <w:t>cílem požadovat nepoužití rozporných vnitrostátních ustanovení</w:t>
      </w:r>
      <w:r w:rsidR="00460264" w:rsidRPr="00674960">
        <w:rPr>
          <w:color w:val="384575"/>
        </w:rPr>
        <w:t xml:space="preserve"> i </w:t>
      </w:r>
      <w:r w:rsidRPr="00674960">
        <w:rPr>
          <w:color w:val="384575"/>
        </w:rPr>
        <w:t>v řízeních mezi jednotlivci.</w:t>
      </w:r>
    </w:p>
    <w:p w14:paraId="08CF003E" w14:textId="77777777" w:rsidR="00A80EFB" w:rsidRPr="007D56D6" w:rsidRDefault="00A80EFB" w:rsidP="00A80EFB">
      <w:pPr>
        <w:spacing w:line="276" w:lineRule="auto"/>
        <w:jc w:val="both"/>
        <w:rPr>
          <w:rFonts w:cstheme="minorHAnsi"/>
        </w:rPr>
      </w:pPr>
    </w:p>
    <w:p w14:paraId="0849118F" w14:textId="77777777" w:rsidR="0048041D" w:rsidRPr="007D56D6" w:rsidRDefault="0048041D" w:rsidP="00A80EFB">
      <w:pPr>
        <w:spacing w:line="276" w:lineRule="auto"/>
        <w:jc w:val="both"/>
        <w:rPr>
          <w:rFonts w:cstheme="minorHAnsi"/>
        </w:rPr>
      </w:pPr>
    </w:p>
    <w:p w14:paraId="763355EA" w14:textId="77777777" w:rsidR="0048041D" w:rsidRPr="007D56D6" w:rsidRDefault="0048041D" w:rsidP="00A80EFB">
      <w:pPr>
        <w:spacing w:line="276" w:lineRule="auto"/>
        <w:jc w:val="both"/>
        <w:rPr>
          <w:rFonts w:cstheme="minorHAnsi"/>
        </w:rPr>
      </w:pPr>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E2F3" w:themeFill="accent1" w:themeFillTint="33"/>
        <w:tblLook w:val="04A0" w:firstRow="1" w:lastRow="0" w:firstColumn="1" w:lastColumn="0" w:noHBand="0" w:noVBand="1"/>
      </w:tblPr>
      <w:tblGrid>
        <w:gridCol w:w="8613"/>
      </w:tblGrid>
      <w:tr w:rsidR="00A80EFB" w:rsidRPr="0027595F" w14:paraId="6926915C" w14:textId="77777777" w:rsidTr="0048041D">
        <w:tc>
          <w:tcPr>
            <w:tcW w:w="8613" w:type="dxa"/>
            <w:shd w:val="clear" w:color="auto" w:fill="D9E2F3" w:themeFill="accent1" w:themeFillTint="33"/>
          </w:tcPr>
          <w:p w14:paraId="2A73F057" w14:textId="598770B4" w:rsidR="00A80EFB" w:rsidRPr="001106A4" w:rsidRDefault="001106A4" w:rsidP="0027595F">
            <w:pPr>
              <w:spacing w:line="276" w:lineRule="auto"/>
              <w:jc w:val="right"/>
              <w:rPr>
                <w:rFonts w:asciiTheme="minorHAnsi" w:hAnsiTheme="minorHAnsi" w:cstheme="minorHAnsi"/>
                <w:b/>
                <w:color w:val="000000" w:themeColor="text1"/>
                <w:sz w:val="20"/>
                <w:szCs w:val="20"/>
              </w:rPr>
            </w:pPr>
            <w:hyperlink r:id="rId18" w:history="1">
              <w:r w:rsidR="00A80EFB" w:rsidRPr="001106A4">
                <w:rPr>
                  <w:rStyle w:val="Hypertextovodkaz"/>
                  <w:rFonts w:asciiTheme="minorHAnsi" w:hAnsiTheme="minorHAnsi"/>
                  <w:b/>
                  <w:color w:val="000000" w:themeColor="text1"/>
                  <w:sz w:val="20"/>
                </w:rPr>
                <w:t xml:space="preserve">Rozsudek Soudního dvora (Velkého senátu) ze dne 17. dubna 2018, </w:t>
              </w:r>
              <w:r w:rsidR="00A80EFB" w:rsidRPr="001106A4">
                <w:rPr>
                  <w:rStyle w:val="Hypertextovodkaz"/>
                  <w:rFonts w:asciiTheme="minorHAnsi" w:hAnsiTheme="minorHAnsi"/>
                  <w:b/>
                  <w:i/>
                  <w:iCs/>
                  <w:color w:val="000000" w:themeColor="text1"/>
                  <w:sz w:val="20"/>
                </w:rPr>
                <w:t xml:space="preserve">Vera </w:t>
              </w:r>
              <w:proofErr w:type="spellStart"/>
              <w:r w:rsidR="00A80EFB" w:rsidRPr="001106A4">
                <w:rPr>
                  <w:rStyle w:val="Hypertextovodkaz"/>
                  <w:rFonts w:asciiTheme="minorHAnsi" w:hAnsiTheme="minorHAnsi"/>
                  <w:b/>
                  <w:i/>
                  <w:iCs/>
                  <w:color w:val="000000" w:themeColor="text1"/>
                  <w:sz w:val="20"/>
                </w:rPr>
                <w:t>Egenberger</w:t>
              </w:r>
              <w:proofErr w:type="spellEnd"/>
              <w:r w:rsidR="00A80EFB" w:rsidRPr="001106A4">
                <w:rPr>
                  <w:rStyle w:val="Hypertextovodkaz"/>
                  <w:rFonts w:asciiTheme="minorHAnsi" w:hAnsiTheme="minorHAnsi"/>
                  <w:b/>
                  <w:i/>
                  <w:iCs/>
                  <w:color w:val="000000" w:themeColor="text1"/>
                  <w:sz w:val="20"/>
                </w:rPr>
                <w:t xml:space="preserve"> v. </w:t>
              </w:r>
              <w:proofErr w:type="spellStart"/>
              <w:r w:rsidR="00A80EFB" w:rsidRPr="001106A4">
                <w:rPr>
                  <w:rStyle w:val="Hypertextovodkaz"/>
                  <w:rFonts w:asciiTheme="minorHAnsi" w:hAnsiTheme="minorHAnsi"/>
                  <w:b/>
                  <w:i/>
                  <w:iCs/>
                  <w:color w:val="000000" w:themeColor="text1"/>
                  <w:sz w:val="20"/>
                </w:rPr>
                <w:t>Evangelisches</w:t>
              </w:r>
              <w:proofErr w:type="spellEnd"/>
              <w:r w:rsidR="00A80EFB" w:rsidRPr="001106A4">
                <w:rPr>
                  <w:rStyle w:val="Hypertextovodkaz"/>
                  <w:rFonts w:asciiTheme="minorHAnsi" w:hAnsiTheme="minorHAnsi"/>
                  <w:b/>
                  <w:i/>
                  <w:iCs/>
                  <w:color w:val="000000" w:themeColor="text1"/>
                  <w:sz w:val="20"/>
                </w:rPr>
                <w:t xml:space="preserve"> </w:t>
              </w:r>
              <w:proofErr w:type="spellStart"/>
              <w:r w:rsidR="00A80EFB" w:rsidRPr="001106A4">
                <w:rPr>
                  <w:rStyle w:val="Hypertextovodkaz"/>
                  <w:rFonts w:asciiTheme="minorHAnsi" w:hAnsiTheme="minorHAnsi"/>
                  <w:b/>
                  <w:i/>
                  <w:iCs/>
                  <w:color w:val="000000" w:themeColor="text1"/>
                  <w:sz w:val="20"/>
                </w:rPr>
                <w:t>Werk</w:t>
              </w:r>
              <w:proofErr w:type="spellEnd"/>
              <w:r w:rsidR="00A80EFB" w:rsidRPr="001106A4">
                <w:rPr>
                  <w:rStyle w:val="Hypertextovodkaz"/>
                  <w:rFonts w:asciiTheme="minorHAnsi" w:hAnsiTheme="minorHAnsi"/>
                  <w:b/>
                  <w:i/>
                  <w:iCs/>
                  <w:color w:val="000000" w:themeColor="text1"/>
                  <w:sz w:val="20"/>
                </w:rPr>
                <w:t xml:space="preserve"> </w:t>
              </w:r>
              <w:proofErr w:type="spellStart"/>
              <w:r w:rsidR="00A80EFB" w:rsidRPr="001106A4">
                <w:rPr>
                  <w:rStyle w:val="Hypertextovodkaz"/>
                  <w:rFonts w:asciiTheme="minorHAnsi" w:hAnsiTheme="minorHAnsi"/>
                  <w:b/>
                  <w:i/>
                  <w:iCs/>
                  <w:color w:val="000000" w:themeColor="text1"/>
                  <w:sz w:val="20"/>
                </w:rPr>
                <w:t>fur</w:t>
              </w:r>
              <w:proofErr w:type="spellEnd"/>
              <w:r w:rsidR="00A80EFB" w:rsidRPr="001106A4">
                <w:rPr>
                  <w:rStyle w:val="Hypertextovodkaz"/>
                  <w:rFonts w:asciiTheme="minorHAnsi" w:hAnsiTheme="minorHAnsi"/>
                  <w:b/>
                  <w:i/>
                  <w:iCs/>
                  <w:color w:val="000000" w:themeColor="text1"/>
                  <w:sz w:val="20"/>
                </w:rPr>
                <w:t xml:space="preserve"> Diakonie </w:t>
              </w:r>
              <w:proofErr w:type="spellStart"/>
              <w:r w:rsidR="00A80EFB" w:rsidRPr="001106A4">
                <w:rPr>
                  <w:rStyle w:val="Hypertextovodkaz"/>
                  <w:rFonts w:asciiTheme="minorHAnsi" w:hAnsiTheme="minorHAnsi"/>
                  <w:b/>
                  <w:i/>
                  <w:iCs/>
                  <w:color w:val="000000" w:themeColor="text1"/>
                  <w:sz w:val="20"/>
                </w:rPr>
                <w:t>und</w:t>
              </w:r>
              <w:proofErr w:type="spellEnd"/>
              <w:r w:rsidR="00A80EFB" w:rsidRPr="001106A4">
                <w:rPr>
                  <w:rStyle w:val="Hypertextovodkaz"/>
                  <w:rFonts w:asciiTheme="minorHAnsi" w:hAnsiTheme="minorHAnsi"/>
                  <w:b/>
                  <w:i/>
                  <w:iCs/>
                  <w:color w:val="000000" w:themeColor="text1"/>
                  <w:sz w:val="20"/>
                </w:rPr>
                <w:t xml:space="preserve"> </w:t>
              </w:r>
              <w:proofErr w:type="spellStart"/>
              <w:r w:rsidR="00A80EFB" w:rsidRPr="001106A4">
                <w:rPr>
                  <w:rStyle w:val="Hypertextovodkaz"/>
                  <w:rFonts w:asciiTheme="minorHAnsi" w:hAnsiTheme="minorHAnsi"/>
                  <w:b/>
                  <w:i/>
                  <w:iCs/>
                  <w:color w:val="000000" w:themeColor="text1"/>
                  <w:sz w:val="20"/>
                </w:rPr>
                <w:t>Entwicklung</w:t>
              </w:r>
              <w:proofErr w:type="spellEnd"/>
              <w:r w:rsidR="00A80EFB" w:rsidRPr="001106A4">
                <w:rPr>
                  <w:rStyle w:val="Hypertextovodkaz"/>
                  <w:rFonts w:asciiTheme="minorHAnsi" w:hAnsiTheme="minorHAnsi"/>
                  <w:b/>
                  <w:i/>
                  <w:iCs/>
                  <w:color w:val="000000" w:themeColor="text1"/>
                  <w:sz w:val="20"/>
                </w:rPr>
                <w:t xml:space="preserve"> </w:t>
              </w:r>
              <w:proofErr w:type="spellStart"/>
              <w:r w:rsidR="00A80EFB" w:rsidRPr="001106A4">
                <w:rPr>
                  <w:rStyle w:val="Hypertextovodkaz"/>
                  <w:rFonts w:asciiTheme="minorHAnsi" w:hAnsiTheme="minorHAnsi"/>
                  <w:b/>
                  <w:i/>
                  <w:iCs/>
                  <w:color w:val="000000" w:themeColor="text1"/>
                  <w:sz w:val="20"/>
                </w:rPr>
                <w:t>ev</w:t>
              </w:r>
              <w:proofErr w:type="spellEnd"/>
              <w:r w:rsidR="00A80EFB" w:rsidRPr="001106A4">
                <w:rPr>
                  <w:rStyle w:val="Hypertextovodkaz"/>
                  <w:rFonts w:asciiTheme="minorHAnsi" w:hAnsiTheme="minorHAnsi"/>
                  <w:b/>
                  <w:color w:val="000000" w:themeColor="text1"/>
                  <w:sz w:val="20"/>
                </w:rPr>
                <w:t>, C-414/16, ECLI:EU:C:2018:257</w:t>
              </w:r>
            </w:hyperlink>
          </w:p>
          <w:p w14:paraId="3CD7F6AC" w14:textId="77777777" w:rsidR="00A80EFB" w:rsidRPr="007D56D6" w:rsidRDefault="00A80EFB" w:rsidP="00A80EFB">
            <w:pPr>
              <w:spacing w:line="276" w:lineRule="auto"/>
              <w:jc w:val="both"/>
              <w:rPr>
                <w:rFonts w:asciiTheme="minorHAnsi" w:hAnsiTheme="minorHAnsi" w:cstheme="minorHAnsi"/>
                <w:sz w:val="20"/>
                <w:szCs w:val="20"/>
              </w:rPr>
            </w:pPr>
          </w:p>
          <w:p w14:paraId="441EFFBF" w14:textId="77777777" w:rsidR="00A80EFB" w:rsidRPr="0027595F" w:rsidRDefault="00A80EFB" w:rsidP="00A80EFB">
            <w:pPr>
              <w:spacing w:line="276" w:lineRule="auto"/>
              <w:jc w:val="both"/>
              <w:rPr>
                <w:rFonts w:asciiTheme="minorHAnsi" w:hAnsiTheme="minorHAnsi" w:cstheme="minorHAnsi"/>
                <w:sz w:val="20"/>
                <w:szCs w:val="20"/>
              </w:rPr>
            </w:pPr>
            <w:r>
              <w:rPr>
                <w:rFonts w:asciiTheme="minorHAnsi" w:hAnsiTheme="minorHAnsi"/>
                <w:sz w:val="20"/>
              </w:rPr>
              <w:t>Listina může být použita přímo soukromou osobou proti jiné osobě:</w:t>
            </w:r>
          </w:p>
          <w:p w14:paraId="7446255D" w14:textId="77777777" w:rsidR="00A80EFB" w:rsidRDefault="00A80EFB" w:rsidP="00A80EFB">
            <w:pPr>
              <w:spacing w:line="276" w:lineRule="auto"/>
              <w:jc w:val="both"/>
              <w:rPr>
                <w:rFonts w:asciiTheme="minorHAnsi" w:hAnsiTheme="minorHAnsi"/>
                <w:sz w:val="20"/>
              </w:rPr>
            </w:pPr>
            <w:r>
              <w:rPr>
                <w:rFonts w:asciiTheme="minorHAnsi" w:hAnsiTheme="minorHAnsi"/>
                <w:sz w:val="20"/>
              </w:rPr>
              <w:t>Věc se týká žádosti</w:t>
            </w:r>
            <w:r w:rsidR="00460264">
              <w:rPr>
                <w:rFonts w:asciiTheme="minorHAnsi" w:hAnsiTheme="minorHAnsi"/>
                <w:sz w:val="20"/>
              </w:rPr>
              <w:t xml:space="preserve"> o </w:t>
            </w:r>
            <w:r>
              <w:rPr>
                <w:rFonts w:asciiTheme="minorHAnsi" w:hAnsiTheme="minorHAnsi"/>
                <w:sz w:val="20"/>
              </w:rPr>
              <w:t xml:space="preserve">odškodnění podané ze strany V. </w:t>
            </w:r>
            <w:proofErr w:type="spellStart"/>
            <w:r>
              <w:rPr>
                <w:rFonts w:asciiTheme="minorHAnsi" w:hAnsiTheme="minorHAnsi"/>
                <w:sz w:val="20"/>
              </w:rPr>
              <w:t>Egenberger</w:t>
            </w:r>
            <w:proofErr w:type="spellEnd"/>
            <w:r w:rsidR="00460264">
              <w:rPr>
                <w:rFonts w:asciiTheme="minorHAnsi" w:hAnsiTheme="minorHAnsi"/>
                <w:sz w:val="20"/>
              </w:rPr>
              <w:t xml:space="preserve"> z </w:t>
            </w:r>
            <w:r>
              <w:rPr>
                <w:rFonts w:asciiTheme="minorHAnsi" w:hAnsiTheme="minorHAnsi"/>
                <w:sz w:val="20"/>
              </w:rPr>
              <w:t>důvodu diskriminace na základě náboženského vyznání, jíž byla podle jejího názoru vystavena</w:t>
            </w:r>
            <w:r w:rsidR="00460264">
              <w:rPr>
                <w:rFonts w:asciiTheme="minorHAnsi" w:hAnsiTheme="minorHAnsi"/>
                <w:sz w:val="20"/>
              </w:rPr>
              <w:t xml:space="preserve"> v </w:t>
            </w:r>
            <w:r>
              <w:rPr>
                <w:rFonts w:asciiTheme="minorHAnsi" w:hAnsiTheme="minorHAnsi"/>
                <w:sz w:val="20"/>
              </w:rPr>
              <w:t>rámci přijímacího řízení.</w:t>
            </w:r>
          </w:p>
          <w:p w14:paraId="42145EF7" w14:textId="77777777" w:rsidR="0048041D" w:rsidRPr="0027595F" w:rsidRDefault="0048041D" w:rsidP="00A80EFB">
            <w:pPr>
              <w:spacing w:line="276" w:lineRule="auto"/>
              <w:jc w:val="both"/>
              <w:rPr>
                <w:rFonts w:asciiTheme="minorHAnsi" w:hAnsiTheme="minorHAnsi" w:cstheme="minorHAnsi"/>
                <w:sz w:val="20"/>
                <w:szCs w:val="20"/>
              </w:rPr>
            </w:pPr>
          </w:p>
          <w:p w14:paraId="228BFF13" w14:textId="77777777" w:rsidR="00A80EFB" w:rsidRDefault="00A80EFB" w:rsidP="00A80EFB">
            <w:pPr>
              <w:spacing w:line="276" w:lineRule="auto"/>
              <w:jc w:val="both"/>
              <w:rPr>
                <w:rFonts w:asciiTheme="minorHAnsi" w:hAnsiTheme="minorHAnsi"/>
                <w:sz w:val="20"/>
              </w:rPr>
            </w:pPr>
            <w:r>
              <w:rPr>
                <w:rFonts w:asciiTheme="minorHAnsi" w:hAnsiTheme="minorHAnsi"/>
                <w:sz w:val="20"/>
              </w:rPr>
              <w:t>Zákaz jakékoli diskriminace na základě náboženského vyznání nebo víry má jakožto obecná zásada unijního práva imperativní povahu. Tento zákaz zakotvený</w:t>
            </w:r>
            <w:r w:rsidR="00460264">
              <w:rPr>
                <w:rFonts w:asciiTheme="minorHAnsi" w:hAnsiTheme="minorHAnsi"/>
                <w:sz w:val="20"/>
              </w:rPr>
              <w:t xml:space="preserve"> v čl. </w:t>
            </w:r>
            <w:r>
              <w:rPr>
                <w:rFonts w:asciiTheme="minorHAnsi" w:hAnsiTheme="minorHAnsi"/>
                <w:sz w:val="20"/>
              </w:rPr>
              <w:t>21 odst. 1 Listiny stačí sám</w:t>
            </w:r>
            <w:r w:rsidR="00460264">
              <w:rPr>
                <w:rFonts w:asciiTheme="minorHAnsi" w:hAnsiTheme="minorHAnsi"/>
                <w:sz w:val="20"/>
              </w:rPr>
              <w:t xml:space="preserve"> o </w:t>
            </w:r>
            <w:r>
              <w:rPr>
                <w:rFonts w:asciiTheme="minorHAnsi" w:hAnsiTheme="minorHAnsi"/>
                <w:sz w:val="20"/>
              </w:rPr>
              <w:t>sobě</w:t>
            </w:r>
            <w:r w:rsidR="00460264">
              <w:rPr>
                <w:rFonts w:asciiTheme="minorHAnsi" w:hAnsiTheme="minorHAnsi"/>
                <w:sz w:val="20"/>
              </w:rPr>
              <w:t xml:space="preserve"> k </w:t>
            </w:r>
            <w:r>
              <w:rPr>
                <w:rFonts w:asciiTheme="minorHAnsi" w:hAnsiTheme="minorHAnsi"/>
                <w:sz w:val="20"/>
              </w:rPr>
              <w:t>tomu, aby bylo jednotlivcům přiznáno právo uplatnitelné jako takové ve sporu</w:t>
            </w:r>
            <w:r w:rsidR="00460264">
              <w:rPr>
                <w:rFonts w:asciiTheme="minorHAnsi" w:hAnsiTheme="minorHAnsi"/>
                <w:sz w:val="20"/>
              </w:rPr>
              <w:t xml:space="preserve"> v </w:t>
            </w:r>
            <w:r>
              <w:rPr>
                <w:rFonts w:asciiTheme="minorHAnsi" w:hAnsiTheme="minorHAnsi"/>
                <w:sz w:val="20"/>
              </w:rPr>
              <w:t>oblasti, na kterou se vztahuje unijní právo (pokud jde</w:t>
            </w:r>
            <w:r w:rsidR="00460264">
              <w:rPr>
                <w:rFonts w:asciiTheme="minorHAnsi" w:hAnsiTheme="minorHAnsi"/>
                <w:sz w:val="20"/>
              </w:rPr>
              <w:t xml:space="preserve"> o </w:t>
            </w:r>
            <w:r>
              <w:rPr>
                <w:rFonts w:asciiTheme="minorHAnsi" w:hAnsiTheme="minorHAnsi"/>
                <w:sz w:val="20"/>
              </w:rPr>
              <w:t>zásadu zákazu diskriminace na základě věku.</w:t>
            </w:r>
          </w:p>
          <w:p w14:paraId="6FC55178" w14:textId="77777777" w:rsidR="0048041D" w:rsidRPr="0027595F" w:rsidRDefault="0048041D" w:rsidP="00A80EFB">
            <w:pPr>
              <w:spacing w:line="276" w:lineRule="auto"/>
              <w:jc w:val="both"/>
              <w:rPr>
                <w:rFonts w:asciiTheme="minorHAnsi" w:hAnsiTheme="minorHAnsi" w:cstheme="minorHAnsi"/>
                <w:sz w:val="20"/>
                <w:szCs w:val="20"/>
              </w:rPr>
            </w:pPr>
          </w:p>
          <w:p w14:paraId="7FD35310" w14:textId="77777777" w:rsidR="00A80EFB" w:rsidRPr="0027595F" w:rsidRDefault="00A80EFB" w:rsidP="00A80EFB">
            <w:pPr>
              <w:spacing w:line="276" w:lineRule="auto"/>
              <w:jc w:val="both"/>
              <w:rPr>
                <w:rFonts w:asciiTheme="minorHAnsi" w:hAnsiTheme="minorHAnsi" w:cstheme="minorHAnsi"/>
                <w:sz w:val="20"/>
                <w:szCs w:val="20"/>
              </w:rPr>
            </w:pPr>
            <w:r>
              <w:rPr>
                <w:rFonts w:asciiTheme="minorHAnsi" w:hAnsiTheme="minorHAnsi"/>
                <w:sz w:val="20"/>
              </w:rPr>
              <w:t>Jako článek 21 Listiny,</w:t>
            </w:r>
            <w:r w:rsidR="00460264">
              <w:rPr>
                <w:rFonts w:asciiTheme="minorHAnsi" w:hAnsiTheme="minorHAnsi"/>
                <w:sz w:val="20"/>
              </w:rPr>
              <w:t xml:space="preserve"> i </w:t>
            </w:r>
            <w:r>
              <w:rPr>
                <w:rFonts w:asciiTheme="minorHAnsi" w:hAnsiTheme="minorHAnsi"/>
                <w:sz w:val="20"/>
              </w:rPr>
              <w:t>její článek 47 týkající se práva na účinnou soudní ochranu, je sám</w:t>
            </w:r>
            <w:r w:rsidR="00460264">
              <w:rPr>
                <w:rFonts w:asciiTheme="minorHAnsi" w:hAnsiTheme="minorHAnsi"/>
                <w:sz w:val="20"/>
              </w:rPr>
              <w:t xml:space="preserve"> o </w:t>
            </w:r>
            <w:r>
              <w:rPr>
                <w:rFonts w:asciiTheme="minorHAnsi" w:hAnsiTheme="minorHAnsi"/>
                <w:sz w:val="20"/>
              </w:rPr>
              <w:t>sobě dostačující</w:t>
            </w:r>
            <w:r w:rsidR="00460264">
              <w:rPr>
                <w:rFonts w:asciiTheme="minorHAnsi" w:hAnsiTheme="minorHAnsi"/>
                <w:sz w:val="20"/>
              </w:rPr>
              <w:t xml:space="preserve"> a </w:t>
            </w:r>
            <w:r>
              <w:rPr>
                <w:rFonts w:asciiTheme="minorHAnsi" w:hAnsiTheme="minorHAnsi"/>
                <w:sz w:val="20"/>
              </w:rPr>
              <w:t>nemusí být upřesněn ustanoveními unijního práva nebo vnitrostátním právem</w:t>
            </w:r>
            <w:r w:rsidR="00460264">
              <w:rPr>
                <w:rFonts w:asciiTheme="minorHAnsi" w:hAnsiTheme="minorHAnsi"/>
                <w:sz w:val="20"/>
              </w:rPr>
              <w:t xml:space="preserve"> k </w:t>
            </w:r>
            <w:r>
              <w:rPr>
                <w:rFonts w:asciiTheme="minorHAnsi" w:hAnsiTheme="minorHAnsi"/>
                <w:sz w:val="20"/>
              </w:rPr>
              <w:t>tomu, aby bylo jednotlivcům přiznáno právo uplatnitelné jako takové.</w:t>
            </w:r>
          </w:p>
        </w:tc>
      </w:tr>
    </w:tbl>
    <w:p w14:paraId="07A35CB4" w14:textId="77777777" w:rsidR="00A80EFB" w:rsidRPr="007D56D6" w:rsidRDefault="00A80EFB" w:rsidP="00A80EFB">
      <w:pPr>
        <w:spacing w:line="276" w:lineRule="auto"/>
        <w:jc w:val="both"/>
        <w:rPr>
          <w:rFonts w:cstheme="minorHAnsi"/>
        </w:rPr>
      </w:pPr>
    </w:p>
    <w:p w14:paraId="2128168C" w14:textId="77777777" w:rsidR="00EC2273" w:rsidRPr="00674960" w:rsidRDefault="0020004F" w:rsidP="00EC2273">
      <w:pPr>
        <w:spacing w:line="276" w:lineRule="auto"/>
        <w:jc w:val="both"/>
        <w:rPr>
          <w:rFonts w:cstheme="minorHAnsi"/>
          <w:color w:val="384575"/>
        </w:rPr>
      </w:pPr>
      <w:r w:rsidRPr="00674960">
        <w:rPr>
          <w:color w:val="384575"/>
        </w:rPr>
        <w:t>Pravidlo</w:t>
      </w:r>
      <w:r w:rsidR="00460264" w:rsidRPr="00674960">
        <w:rPr>
          <w:color w:val="384575"/>
        </w:rPr>
        <w:t xml:space="preserve"> o </w:t>
      </w:r>
      <w:r w:rsidRPr="00674960">
        <w:rPr>
          <w:color w:val="384575"/>
        </w:rPr>
        <w:t>nepoužití právních pravidel má zásadní význam</w:t>
      </w:r>
      <w:r w:rsidR="00460264" w:rsidRPr="00674960">
        <w:rPr>
          <w:color w:val="384575"/>
        </w:rPr>
        <w:t xml:space="preserve"> v </w:t>
      </w:r>
      <w:r w:rsidRPr="00674960">
        <w:rPr>
          <w:color w:val="384575"/>
        </w:rPr>
        <w:t>případě, že stát směrnici neprovedl nebo ji provedl nesprávně, neboť podle ustálené judikatury se ani jasné, přesné</w:t>
      </w:r>
      <w:r w:rsidR="00460264" w:rsidRPr="00674960">
        <w:rPr>
          <w:color w:val="384575"/>
        </w:rPr>
        <w:t xml:space="preserve"> a </w:t>
      </w:r>
      <w:r w:rsidRPr="00674960">
        <w:rPr>
          <w:color w:val="384575"/>
        </w:rPr>
        <w:t>bezpodmínečné ustanovení směrnice, které má jednotlivcům přiznat práva nebo uložit povinnosti, nemůže samo</w:t>
      </w:r>
      <w:r w:rsidR="00460264" w:rsidRPr="00674960">
        <w:rPr>
          <w:color w:val="384575"/>
        </w:rPr>
        <w:t xml:space="preserve"> o </w:t>
      </w:r>
      <w:r w:rsidRPr="00674960">
        <w:rPr>
          <w:color w:val="384575"/>
        </w:rPr>
        <w:t>sobě použít</w:t>
      </w:r>
      <w:r w:rsidR="00460264" w:rsidRPr="00674960">
        <w:rPr>
          <w:color w:val="384575"/>
        </w:rPr>
        <w:t xml:space="preserve"> v </w:t>
      </w:r>
      <w:r w:rsidRPr="00674960">
        <w:rPr>
          <w:color w:val="384575"/>
        </w:rPr>
        <w:t>řízeních výlučně mezi soukromými osobami.</w:t>
      </w:r>
    </w:p>
    <w:p w14:paraId="19F5B255" w14:textId="77777777" w:rsidR="00EC1B7F" w:rsidRPr="007D56D6" w:rsidRDefault="00EC1B7F" w:rsidP="00EC2273">
      <w:pPr>
        <w:spacing w:line="276" w:lineRule="auto"/>
        <w:jc w:val="both"/>
        <w:rPr>
          <w:rFonts w:cstheme="minorHAnsi"/>
        </w:rPr>
      </w:pPr>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E2F3" w:themeFill="accent1" w:themeFillTint="33"/>
        <w:tblLook w:val="04A0" w:firstRow="1" w:lastRow="0" w:firstColumn="1" w:lastColumn="0" w:noHBand="0" w:noVBand="1"/>
      </w:tblPr>
      <w:tblGrid>
        <w:gridCol w:w="8613"/>
      </w:tblGrid>
      <w:tr w:rsidR="00B259C1" w:rsidRPr="0027595F" w14:paraId="723A24C8" w14:textId="77777777" w:rsidTr="0048041D">
        <w:tc>
          <w:tcPr>
            <w:tcW w:w="8613" w:type="dxa"/>
            <w:shd w:val="clear" w:color="auto" w:fill="D9E2F3" w:themeFill="accent1" w:themeFillTint="33"/>
          </w:tcPr>
          <w:p w14:paraId="01C72692" w14:textId="5349C5C4" w:rsidR="00B259C1" w:rsidRPr="001106A4" w:rsidRDefault="001106A4" w:rsidP="00ED6B1D">
            <w:pPr>
              <w:spacing w:line="276" w:lineRule="auto"/>
              <w:jc w:val="right"/>
              <w:rPr>
                <w:rFonts w:asciiTheme="minorHAnsi" w:hAnsiTheme="minorHAnsi" w:cstheme="minorHAnsi"/>
                <w:b/>
                <w:color w:val="000000" w:themeColor="text1"/>
                <w:sz w:val="20"/>
                <w:szCs w:val="20"/>
              </w:rPr>
            </w:pPr>
            <w:hyperlink r:id="rId19" w:history="1">
              <w:r w:rsidR="00B259C1" w:rsidRPr="001106A4">
                <w:rPr>
                  <w:rStyle w:val="Hypertextovodkaz"/>
                  <w:rFonts w:asciiTheme="minorHAnsi" w:hAnsiTheme="minorHAnsi"/>
                  <w:b/>
                  <w:color w:val="000000" w:themeColor="text1"/>
                  <w:sz w:val="20"/>
                </w:rPr>
                <w:t xml:space="preserve">Rozsudek Soudního dvora (Velkého senátu) ze dne 6. listopadu 2018, </w:t>
              </w:r>
              <w:r w:rsidR="00B259C1" w:rsidRPr="001106A4">
                <w:rPr>
                  <w:rStyle w:val="Hypertextovodkaz"/>
                  <w:rFonts w:asciiTheme="minorHAnsi" w:hAnsiTheme="minorHAnsi"/>
                  <w:b/>
                  <w:i/>
                  <w:iCs/>
                  <w:color w:val="000000" w:themeColor="text1"/>
                  <w:sz w:val="20"/>
                </w:rPr>
                <w:t>Max-Planck-</w:t>
              </w:r>
              <w:proofErr w:type="spellStart"/>
              <w:r w:rsidR="00B259C1" w:rsidRPr="001106A4">
                <w:rPr>
                  <w:rStyle w:val="Hypertextovodkaz"/>
                  <w:rFonts w:asciiTheme="minorHAnsi" w:hAnsiTheme="minorHAnsi"/>
                  <w:b/>
                  <w:i/>
                  <w:iCs/>
                  <w:color w:val="000000" w:themeColor="text1"/>
                  <w:sz w:val="20"/>
                </w:rPr>
                <w:t>Gesellschaft</w:t>
              </w:r>
              <w:proofErr w:type="spellEnd"/>
              <w:r w:rsidR="00B259C1" w:rsidRPr="001106A4">
                <w:rPr>
                  <w:rStyle w:val="Hypertextovodkaz"/>
                  <w:rFonts w:asciiTheme="minorHAnsi" w:hAnsiTheme="minorHAnsi"/>
                  <w:b/>
                  <w:i/>
                  <w:iCs/>
                  <w:color w:val="000000" w:themeColor="text1"/>
                  <w:sz w:val="20"/>
                </w:rPr>
                <w:t xml:space="preserve"> </w:t>
              </w:r>
              <w:proofErr w:type="spellStart"/>
              <w:r w:rsidR="00B259C1" w:rsidRPr="001106A4">
                <w:rPr>
                  <w:rStyle w:val="Hypertextovodkaz"/>
                  <w:rFonts w:asciiTheme="minorHAnsi" w:hAnsiTheme="minorHAnsi"/>
                  <w:b/>
                  <w:i/>
                  <w:iCs/>
                  <w:color w:val="000000" w:themeColor="text1"/>
                  <w:sz w:val="20"/>
                </w:rPr>
                <w:t>zur</w:t>
              </w:r>
              <w:proofErr w:type="spellEnd"/>
              <w:r w:rsidR="00B259C1" w:rsidRPr="001106A4">
                <w:rPr>
                  <w:rStyle w:val="Hypertextovodkaz"/>
                  <w:rFonts w:asciiTheme="minorHAnsi" w:hAnsiTheme="minorHAnsi"/>
                  <w:b/>
                  <w:i/>
                  <w:iCs/>
                  <w:color w:val="000000" w:themeColor="text1"/>
                  <w:sz w:val="20"/>
                </w:rPr>
                <w:t xml:space="preserve"> </w:t>
              </w:r>
              <w:proofErr w:type="spellStart"/>
              <w:r w:rsidR="00B259C1" w:rsidRPr="001106A4">
                <w:rPr>
                  <w:rStyle w:val="Hypertextovodkaz"/>
                  <w:rFonts w:asciiTheme="minorHAnsi" w:hAnsiTheme="minorHAnsi"/>
                  <w:b/>
                  <w:i/>
                  <w:iCs/>
                  <w:color w:val="000000" w:themeColor="text1"/>
                  <w:sz w:val="20"/>
                </w:rPr>
                <w:t>Förderung</w:t>
              </w:r>
              <w:proofErr w:type="spellEnd"/>
              <w:r w:rsidR="00B259C1" w:rsidRPr="001106A4">
                <w:rPr>
                  <w:rStyle w:val="Hypertextovodkaz"/>
                  <w:rFonts w:asciiTheme="minorHAnsi" w:hAnsiTheme="minorHAnsi"/>
                  <w:b/>
                  <w:i/>
                  <w:iCs/>
                  <w:color w:val="000000" w:themeColor="text1"/>
                  <w:sz w:val="20"/>
                </w:rPr>
                <w:t xml:space="preserve"> der </w:t>
              </w:r>
              <w:proofErr w:type="spellStart"/>
              <w:r w:rsidR="00B259C1" w:rsidRPr="001106A4">
                <w:rPr>
                  <w:rStyle w:val="Hypertextovodkaz"/>
                  <w:rFonts w:asciiTheme="minorHAnsi" w:hAnsiTheme="minorHAnsi"/>
                  <w:b/>
                  <w:i/>
                  <w:iCs/>
                  <w:color w:val="000000" w:themeColor="text1"/>
                  <w:sz w:val="20"/>
                </w:rPr>
                <w:t>W</w:t>
              </w:r>
              <w:r w:rsidR="00B259C1" w:rsidRPr="001106A4">
                <w:rPr>
                  <w:rStyle w:val="Hypertextovodkaz"/>
                  <w:rFonts w:asciiTheme="minorHAnsi" w:hAnsiTheme="minorHAnsi"/>
                  <w:b/>
                  <w:i/>
                  <w:iCs/>
                  <w:color w:val="000000" w:themeColor="text1"/>
                  <w:sz w:val="20"/>
                </w:rPr>
                <w:t>i</w:t>
              </w:r>
              <w:r w:rsidR="00B259C1" w:rsidRPr="001106A4">
                <w:rPr>
                  <w:rStyle w:val="Hypertextovodkaz"/>
                  <w:rFonts w:asciiTheme="minorHAnsi" w:hAnsiTheme="minorHAnsi"/>
                  <w:b/>
                  <w:i/>
                  <w:iCs/>
                  <w:color w:val="000000" w:themeColor="text1"/>
                  <w:sz w:val="20"/>
                </w:rPr>
                <w:t>ssenschaften</w:t>
              </w:r>
              <w:proofErr w:type="spellEnd"/>
              <w:r w:rsidR="00B259C1" w:rsidRPr="001106A4">
                <w:rPr>
                  <w:rStyle w:val="Hypertextovodkaz"/>
                  <w:rFonts w:asciiTheme="minorHAnsi" w:hAnsiTheme="minorHAnsi"/>
                  <w:b/>
                  <w:i/>
                  <w:iCs/>
                  <w:color w:val="000000" w:themeColor="text1"/>
                  <w:sz w:val="20"/>
                </w:rPr>
                <w:t xml:space="preserve"> </w:t>
              </w:r>
              <w:proofErr w:type="spellStart"/>
              <w:r w:rsidR="00B259C1" w:rsidRPr="001106A4">
                <w:rPr>
                  <w:rStyle w:val="Hypertextovodkaz"/>
                  <w:rFonts w:asciiTheme="minorHAnsi" w:hAnsiTheme="minorHAnsi"/>
                  <w:b/>
                  <w:i/>
                  <w:iCs/>
                  <w:color w:val="000000" w:themeColor="text1"/>
                  <w:sz w:val="20"/>
                </w:rPr>
                <w:t>e.V</w:t>
              </w:r>
              <w:proofErr w:type="spellEnd"/>
              <w:r w:rsidR="00B259C1" w:rsidRPr="001106A4">
                <w:rPr>
                  <w:rStyle w:val="Hypertextovodkaz"/>
                  <w:rFonts w:asciiTheme="minorHAnsi" w:hAnsiTheme="minorHAnsi"/>
                  <w:b/>
                  <w:i/>
                  <w:iCs/>
                  <w:color w:val="000000" w:themeColor="text1"/>
                  <w:sz w:val="20"/>
                </w:rPr>
                <w:t xml:space="preserve">. v. </w:t>
              </w:r>
              <w:proofErr w:type="spellStart"/>
              <w:r w:rsidR="00B259C1" w:rsidRPr="001106A4">
                <w:rPr>
                  <w:rStyle w:val="Hypertextovodkaz"/>
                  <w:rFonts w:asciiTheme="minorHAnsi" w:hAnsiTheme="minorHAnsi"/>
                  <w:b/>
                  <w:i/>
                  <w:iCs/>
                  <w:color w:val="000000" w:themeColor="text1"/>
                  <w:sz w:val="20"/>
                </w:rPr>
                <w:t>Tetsuji</w:t>
              </w:r>
              <w:proofErr w:type="spellEnd"/>
              <w:r w:rsidR="00B259C1" w:rsidRPr="001106A4">
                <w:rPr>
                  <w:rStyle w:val="Hypertextovodkaz"/>
                  <w:rFonts w:asciiTheme="minorHAnsi" w:hAnsiTheme="minorHAnsi"/>
                  <w:b/>
                  <w:i/>
                  <w:iCs/>
                  <w:color w:val="000000" w:themeColor="text1"/>
                  <w:sz w:val="20"/>
                </w:rPr>
                <w:t xml:space="preserve"> </w:t>
              </w:r>
              <w:proofErr w:type="spellStart"/>
              <w:r w:rsidR="00B259C1" w:rsidRPr="001106A4">
                <w:rPr>
                  <w:rStyle w:val="Hypertextovodkaz"/>
                  <w:rFonts w:asciiTheme="minorHAnsi" w:hAnsiTheme="minorHAnsi"/>
                  <w:b/>
                  <w:i/>
                  <w:iCs/>
                  <w:color w:val="000000" w:themeColor="text1"/>
                  <w:sz w:val="20"/>
                </w:rPr>
                <w:t>Shimizu</w:t>
              </w:r>
              <w:proofErr w:type="spellEnd"/>
              <w:r w:rsidR="00B259C1" w:rsidRPr="001106A4">
                <w:rPr>
                  <w:rStyle w:val="Hypertextovodkaz"/>
                  <w:rFonts w:asciiTheme="minorHAnsi" w:hAnsiTheme="minorHAnsi"/>
                  <w:b/>
                  <w:color w:val="000000" w:themeColor="text1"/>
                  <w:sz w:val="20"/>
                </w:rPr>
                <w:t>, C-684/16, ECLI:EU: C:2018:874</w:t>
              </w:r>
            </w:hyperlink>
          </w:p>
          <w:p w14:paraId="501F71A6" w14:textId="77777777" w:rsidR="00B259C1" w:rsidRPr="007D56D6" w:rsidRDefault="00B259C1" w:rsidP="00B259C1">
            <w:pPr>
              <w:spacing w:line="276" w:lineRule="auto"/>
              <w:jc w:val="both"/>
              <w:rPr>
                <w:rFonts w:asciiTheme="minorHAnsi" w:hAnsiTheme="minorHAnsi" w:cstheme="minorHAnsi"/>
                <w:sz w:val="20"/>
                <w:szCs w:val="20"/>
              </w:rPr>
            </w:pPr>
          </w:p>
          <w:p w14:paraId="6157D980" w14:textId="77777777" w:rsidR="00B259C1" w:rsidRDefault="00B259C1" w:rsidP="00B259C1">
            <w:pPr>
              <w:spacing w:line="276" w:lineRule="auto"/>
              <w:jc w:val="both"/>
              <w:rPr>
                <w:rFonts w:asciiTheme="minorHAnsi" w:hAnsiTheme="minorHAnsi"/>
                <w:sz w:val="20"/>
              </w:rPr>
            </w:pPr>
            <w:r>
              <w:rPr>
                <w:rFonts w:asciiTheme="minorHAnsi" w:hAnsiTheme="minorHAnsi"/>
                <w:sz w:val="20"/>
              </w:rPr>
              <w:t>V rámci této věci odmítl zaměstnavatel svému bývalému zaměstnanci vyplatit finanční náhradu za placenou dovolenou za kalendářní rok,</w:t>
            </w:r>
            <w:r w:rsidR="0048041D">
              <w:rPr>
                <w:rFonts w:asciiTheme="minorHAnsi" w:hAnsiTheme="minorHAnsi"/>
                <w:sz w:val="20"/>
              </w:rPr>
              <w:t xml:space="preserve"> kterou zaměstnanec nevyčerpal </w:t>
            </w:r>
            <w:r>
              <w:rPr>
                <w:rFonts w:asciiTheme="minorHAnsi" w:hAnsiTheme="minorHAnsi"/>
                <w:sz w:val="20"/>
              </w:rPr>
              <w:t>před uko</w:t>
            </w:r>
            <w:r w:rsidR="0048041D">
              <w:rPr>
                <w:rFonts w:asciiTheme="minorHAnsi" w:hAnsiTheme="minorHAnsi"/>
                <w:sz w:val="20"/>
              </w:rPr>
              <w:t>nčením svého pracovního poměru.</w:t>
            </w:r>
          </w:p>
          <w:p w14:paraId="023FFF6F" w14:textId="77777777" w:rsidR="0048041D" w:rsidRPr="0027595F" w:rsidRDefault="0048041D" w:rsidP="00B259C1">
            <w:pPr>
              <w:spacing w:line="276" w:lineRule="auto"/>
              <w:jc w:val="both"/>
              <w:rPr>
                <w:rFonts w:asciiTheme="minorHAnsi" w:hAnsiTheme="minorHAnsi" w:cstheme="minorHAnsi"/>
                <w:sz w:val="20"/>
                <w:szCs w:val="20"/>
              </w:rPr>
            </w:pPr>
          </w:p>
          <w:p w14:paraId="6C37096F" w14:textId="77777777" w:rsidR="00B259C1" w:rsidRDefault="00B259C1" w:rsidP="00B259C1">
            <w:pPr>
              <w:spacing w:line="276" w:lineRule="auto"/>
              <w:jc w:val="both"/>
              <w:rPr>
                <w:rFonts w:asciiTheme="minorHAnsi" w:hAnsiTheme="minorHAnsi"/>
                <w:sz w:val="20"/>
              </w:rPr>
            </w:pPr>
            <w:r>
              <w:rPr>
                <w:rFonts w:asciiTheme="minorHAnsi" w:hAnsiTheme="minorHAnsi"/>
                <w:sz w:val="20"/>
              </w:rPr>
              <w:t>Právo každého pracovníka na placenou dovolenou za kalendářní rok zakotvené</w:t>
            </w:r>
            <w:r w:rsidR="00460264">
              <w:rPr>
                <w:rFonts w:asciiTheme="minorHAnsi" w:hAnsiTheme="minorHAnsi"/>
                <w:sz w:val="20"/>
              </w:rPr>
              <w:t xml:space="preserve"> v čl. </w:t>
            </w:r>
            <w:r>
              <w:rPr>
                <w:rFonts w:asciiTheme="minorHAnsi" w:hAnsiTheme="minorHAnsi"/>
                <w:sz w:val="20"/>
              </w:rPr>
              <w:t>31 odst. 2 Listiny tedy existuje jako právo kogentní</w:t>
            </w:r>
            <w:r w:rsidR="00460264">
              <w:rPr>
                <w:rFonts w:asciiTheme="minorHAnsi" w:hAnsiTheme="minorHAnsi"/>
                <w:sz w:val="20"/>
              </w:rPr>
              <w:t xml:space="preserve"> a </w:t>
            </w:r>
            <w:r>
              <w:rPr>
                <w:rFonts w:asciiTheme="minorHAnsi" w:hAnsiTheme="minorHAnsi"/>
                <w:sz w:val="20"/>
              </w:rPr>
              <w:t>bezpodmínečné, přičemž</w:t>
            </w:r>
            <w:r w:rsidR="00460264">
              <w:rPr>
                <w:rFonts w:asciiTheme="minorHAnsi" w:hAnsiTheme="minorHAnsi"/>
                <w:sz w:val="20"/>
              </w:rPr>
              <w:t xml:space="preserve"> k </w:t>
            </w:r>
            <w:r>
              <w:rPr>
                <w:rFonts w:asciiTheme="minorHAnsi" w:hAnsiTheme="minorHAnsi"/>
                <w:sz w:val="20"/>
              </w:rPr>
              <w:t>jeho bezpodmínečnosti není třeba, aby bylo konkretizováno</w:t>
            </w:r>
            <w:r w:rsidR="00460264">
              <w:rPr>
                <w:rFonts w:asciiTheme="minorHAnsi" w:hAnsiTheme="minorHAnsi"/>
                <w:sz w:val="20"/>
              </w:rPr>
              <w:t xml:space="preserve"> v </w:t>
            </w:r>
            <w:r>
              <w:rPr>
                <w:rFonts w:asciiTheme="minorHAnsi" w:hAnsiTheme="minorHAnsi"/>
                <w:sz w:val="20"/>
              </w:rPr>
              <w:t>ustanoveních unijního či vnitrostátního práva, která pouze upřesňují konkrétní délku placené dovolené za kalendářní rok</w:t>
            </w:r>
            <w:r w:rsidR="00460264">
              <w:rPr>
                <w:rFonts w:asciiTheme="minorHAnsi" w:hAnsiTheme="minorHAnsi"/>
                <w:sz w:val="20"/>
              </w:rPr>
              <w:t xml:space="preserve"> a </w:t>
            </w:r>
            <w:r>
              <w:rPr>
                <w:rFonts w:asciiTheme="minorHAnsi" w:hAnsiTheme="minorHAnsi"/>
                <w:sz w:val="20"/>
              </w:rPr>
              <w:t>případně určité podmínky pro její čerpání.</w:t>
            </w:r>
            <w:r w:rsidR="00460264">
              <w:rPr>
                <w:rFonts w:asciiTheme="minorHAnsi" w:hAnsiTheme="minorHAnsi"/>
                <w:sz w:val="20"/>
              </w:rPr>
              <w:t xml:space="preserve"> Z </w:t>
            </w:r>
            <w:r>
              <w:rPr>
                <w:rFonts w:asciiTheme="minorHAnsi" w:hAnsiTheme="minorHAnsi"/>
                <w:sz w:val="20"/>
              </w:rPr>
              <w:t>toho vyplývá, že uvedené ustanovení samo</w:t>
            </w:r>
            <w:r w:rsidR="00460264">
              <w:rPr>
                <w:rFonts w:asciiTheme="minorHAnsi" w:hAnsiTheme="minorHAnsi"/>
                <w:sz w:val="20"/>
              </w:rPr>
              <w:t xml:space="preserve"> o </w:t>
            </w:r>
            <w:r>
              <w:rPr>
                <w:rFonts w:asciiTheme="minorHAnsi" w:hAnsiTheme="minorHAnsi"/>
                <w:sz w:val="20"/>
              </w:rPr>
              <w:t>sobě zakládá pracovníkům právo uplatnitelné jako takové ve sporu proti jejich zaměstnavateli</w:t>
            </w:r>
            <w:r w:rsidR="00460264">
              <w:rPr>
                <w:rFonts w:asciiTheme="minorHAnsi" w:hAnsiTheme="minorHAnsi"/>
                <w:sz w:val="20"/>
              </w:rPr>
              <w:t xml:space="preserve"> v </w:t>
            </w:r>
            <w:r>
              <w:rPr>
                <w:rFonts w:asciiTheme="minorHAnsi" w:hAnsiTheme="minorHAnsi"/>
                <w:sz w:val="20"/>
              </w:rPr>
              <w:t>situaci, na kterou se vztahuje unijní právo,</w:t>
            </w:r>
            <w:r w:rsidR="00460264">
              <w:rPr>
                <w:rFonts w:asciiTheme="minorHAnsi" w:hAnsiTheme="minorHAnsi"/>
                <w:sz w:val="20"/>
              </w:rPr>
              <w:t xml:space="preserve"> a </w:t>
            </w:r>
            <w:r>
              <w:rPr>
                <w:rFonts w:asciiTheme="minorHAnsi" w:hAnsiTheme="minorHAnsi"/>
                <w:sz w:val="20"/>
              </w:rPr>
              <w:t>tudíž</w:t>
            </w:r>
            <w:r w:rsidR="00460264">
              <w:rPr>
                <w:rFonts w:asciiTheme="minorHAnsi" w:hAnsiTheme="minorHAnsi"/>
                <w:sz w:val="20"/>
              </w:rPr>
              <w:t xml:space="preserve"> i </w:t>
            </w:r>
            <w:r>
              <w:rPr>
                <w:rFonts w:asciiTheme="minorHAnsi" w:hAnsiTheme="minorHAnsi"/>
                <w:sz w:val="20"/>
              </w:rPr>
              <w:t>Listina.</w:t>
            </w:r>
          </w:p>
          <w:p w14:paraId="1671C570" w14:textId="77777777" w:rsidR="0048041D" w:rsidRPr="0027595F" w:rsidRDefault="0048041D" w:rsidP="00B259C1">
            <w:pPr>
              <w:spacing w:line="276" w:lineRule="auto"/>
              <w:jc w:val="both"/>
              <w:rPr>
                <w:rFonts w:asciiTheme="minorHAnsi" w:hAnsiTheme="minorHAnsi" w:cstheme="minorHAnsi"/>
                <w:sz w:val="20"/>
                <w:szCs w:val="20"/>
              </w:rPr>
            </w:pPr>
          </w:p>
          <w:p w14:paraId="25B029A3" w14:textId="77777777" w:rsidR="00B259C1" w:rsidRPr="0027595F" w:rsidRDefault="00B259C1" w:rsidP="00616814">
            <w:pPr>
              <w:spacing w:line="276" w:lineRule="auto"/>
              <w:jc w:val="both"/>
              <w:rPr>
                <w:rFonts w:asciiTheme="minorHAnsi" w:hAnsiTheme="minorHAnsi" w:cstheme="minorHAnsi"/>
                <w:sz w:val="20"/>
                <w:szCs w:val="20"/>
              </w:rPr>
            </w:pPr>
            <w:r>
              <w:rPr>
                <w:rFonts w:asciiTheme="minorHAnsi" w:hAnsiTheme="minorHAnsi"/>
                <w:sz w:val="20"/>
              </w:rPr>
              <w:t>V případě, že nelze vykládat takovou vnitrostátní právní úpravu, jako je úprava dotčená ve věci</w:t>
            </w:r>
            <w:r w:rsidR="00460264">
              <w:rPr>
                <w:rFonts w:asciiTheme="minorHAnsi" w:hAnsiTheme="minorHAnsi"/>
                <w:sz w:val="20"/>
              </w:rPr>
              <w:t xml:space="preserve"> v </w:t>
            </w:r>
            <w:r>
              <w:rPr>
                <w:rFonts w:asciiTheme="minorHAnsi" w:hAnsiTheme="minorHAnsi"/>
                <w:sz w:val="20"/>
              </w:rPr>
              <w:t>původním řízení, tak, aby byl zajištěn soulad</w:t>
            </w:r>
            <w:r w:rsidR="00460264">
              <w:rPr>
                <w:rFonts w:asciiTheme="minorHAnsi" w:hAnsiTheme="minorHAnsi"/>
                <w:sz w:val="20"/>
              </w:rPr>
              <w:t xml:space="preserve"> s </w:t>
            </w:r>
            <w:r>
              <w:rPr>
                <w:rFonts w:asciiTheme="minorHAnsi" w:hAnsiTheme="minorHAnsi"/>
                <w:sz w:val="20"/>
              </w:rPr>
              <w:t>článkem 7 směrnice 2003/88</w:t>
            </w:r>
            <w:r w:rsidR="00460264">
              <w:rPr>
                <w:rFonts w:asciiTheme="minorHAnsi" w:hAnsiTheme="minorHAnsi"/>
                <w:sz w:val="20"/>
              </w:rPr>
              <w:t xml:space="preserve"> a čl. </w:t>
            </w:r>
            <w:r>
              <w:rPr>
                <w:rFonts w:asciiTheme="minorHAnsi" w:hAnsiTheme="minorHAnsi"/>
                <w:sz w:val="20"/>
              </w:rPr>
              <w:t>31 odst. 2 Listiny, vyplývá</w:t>
            </w:r>
            <w:r w:rsidR="00460264">
              <w:rPr>
                <w:rFonts w:asciiTheme="minorHAnsi" w:hAnsiTheme="minorHAnsi"/>
                <w:sz w:val="20"/>
              </w:rPr>
              <w:t xml:space="preserve"> z </w:t>
            </w:r>
            <w:r>
              <w:rPr>
                <w:rFonts w:asciiTheme="minorHAnsi" w:hAnsiTheme="minorHAnsi"/>
                <w:sz w:val="20"/>
              </w:rPr>
              <w:t>toho, že vnitrostátní soud, který rozhoduje</w:t>
            </w:r>
            <w:r w:rsidR="00460264">
              <w:rPr>
                <w:rFonts w:asciiTheme="minorHAnsi" w:hAnsiTheme="minorHAnsi"/>
                <w:sz w:val="20"/>
              </w:rPr>
              <w:t xml:space="preserve"> o </w:t>
            </w:r>
            <w:r>
              <w:rPr>
                <w:rFonts w:asciiTheme="minorHAnsi" w:hAnsiTheme="minorHAnsi"/>
                <w:sz w:val="20"/>
              </w:rPr>
              <w:t>sporu mezi pracovníkem</w:t>
            </w:r>
            <w:r w:rsidR="00460264">
              <w:rPr>
                <w:rFonts w:asciiTheme="minorHAnsi" w:hAnsiTheme="minorHAnsi"/>
                <w:sz w:val="20"/>
              </w:rPr>
              <w:t xml:space="preserve"> a </w:t>
            </w:r>
            <w:r>
              <w:rPr>
                <w:rFonts w:asciiTheme="minorHAnsi" w:hAnsiTheme="minorHAnsi"/>
                <w:sz w:val="20"/>
              </w:rPr>
              <w:t>jeho bývalým zaměstnavatelem, který má postavení jednotlivce, se musí zdržet aplikace uvedené vnitrostátní právní úpravy</w:t>
            </w:r>
            <w:r w:rsidR="00460264">
              <w:rPr>
                <w:rFonts w:asciiTheme="minorHAnsi" w:hAnsiTheme="minorHAnsi"/>
                <w:sz w:val="20"/>
              </w:rPr>
              <w:t xml:space="preserve"> a </w:t>
            </w:r>
            <w:r>
              <w:rPr>
                <w:rFonts w:asciiTheme="minorHAnsi" w:hAnsiTheme="minorHAnsi"/>
                <w:sz w:val="20"/>
              </w:rPr>
              <w:t>zajistit, aby</w:t>
            </w:r>
            <w:r w:rsidR="00460264">
              <w:rPr>
                <w:rFonts w:asciiTheme="minorHAnsi" w:hAnsiTheme="minorHAnsi"/>
                <w:sz w:val="20"/>
              </w:rPr>
              <w:t xml:space="preserve"> v </w:t>
            </w:r>
            <w:r>
              <w:rPr>
                <w:rFonts w:asciiTheme="minorHAnsi" w:hAnsiTheme="minorHAnsi"/>
                <w:sz w:val="20"/>
              </w:rPr>
              <w:t>případě, že tento zaměstnavatel není</w:t>
            </w:r>
            <w:r w:rsidR="00460264">
              <w:rPr>
                <w:rFonts w:asciiTheme="minorHAnsi" w:hAnsiTheme="minorHAnsi"/>
                <w:sz w:val="20"/>
              </w:rPr>
              <w:t xml:space="preserve"> s </w:t>
            </w:r>
            <w:r>
              <w:rPr>
                <w:rFonts w:asciiTheme="minorHAnsi" w:hAnsiTheme="minorHAnsi"/>
                <w:sz w:val="20"/>
              </w:rPr>
              <w:t>to prokázat, že jednal</w:t>
            </w:r>
            <w:r w:rsidR="00460264">
              <w:rPr>
                <w:rFonts w:asciiTheme="minorHAnsi" w:hAnsiTheme="minorHAnsi"/>
                <w:sz w:val="20"/>
              </w:rPr>
              <w:t xml:space="preserve"> s </w:t>
            </w:r>
            <w:r>
              <w:rPr>
                <w:rFonts w:asciiTheme="minorHAnsi" w:hAnsiTheme="minorHAnsi"/>
                <w:sz w:val="20"/>
              </w:rPr>
              <w:t>náležitou péčí tak, aby pracovník ve skutečnosti mohl čerpat placenou dovolenou za kalendářní rok, na kterou má nárok podle unijního práva, nebyl uvedenému pracovníkovi upřen nárok na takovou placenou dovolenou za kalendářní rok</w:t>
            </w:r>
            <w:r w:rsidR="00460264">
              <w:rPr>
                <w:rFonts w:asciiTheme="minorHAnsi" w:hAnsiTheme="minorHAnsi"/>
                <w:sz w:val="20"/>
              </w:rPr>
              <w:t xml:space="preserve"> a </w:t>
            </w:r>
            <w:r>
              <w:rPr>
                <w:rFonts w:asciiTheme="minorHAnsi" w:hAnsiTheme="minorHAnsi"/>
                <w:sz w:val="20"/>
              </w:rPr>
              <w:t>v případě ukončení pracovního poměru</w:t>
            </w:r>
            <w:r w:rsidR="00460264">
              <w:rPr>
                <w:rFonts w:asciiTheme="minorHAnsi" w:hAnsiTheme="minorHAnsi"/>
                <w:sz w:val="20"/>
              </w:rPr>
              <w:t xml:space="preserve"> s </w:t>
            </w:r>
            <w:r>
              <w:rPr>
                <w:rFonts w:asciiTheme="minorHAnsi" w:hAnsiTheme="minorHAnsi"/>
                <w:sz w:val="20"/>
              </w:rPr>
              <w:t>tím související finanční náhrada za nevyčerpanou dovolenou, kterou musí</w:t>
            </w:r>
            <w:r w:rsidR="00460264">
              <w:rPr>
                <w:rFonts w:asciiTheme="minorHAnsi" w:hAnsiTheme="minorHAnsi"/>
                <w:sz w:val="20"/>
              </w:rPr>
              <w:t xml:space="preserve"> v </w:t>
            </w:r>
            <w:r>
              <w:rPr>
                <w:rFonts w:asciiTheme="minorHAnsi" w:hAnsiTheme="minorHAnsi"/>
                <w:sz w:val="20"/>
              </w:rPr>
              <w:t>tomto případě zaplatit přímo dotčený zaměstnavatel.</w:t>
            </w:r>
          </w:p>
        </w:tc>
      </w:tr>
    </w:tbl>
    <w:p w14:paraId="3BA2134E" w14:textId="77777777" w:rsidR="00B259C1" w:rsidRPr="007D56D6" w:rsidRDefault="00B259C1" w:rsidP="00616814">
      <w:pPr>
        <w:spacing w:line="276" w:lineRule="auto"/>
        <w:jc w:val="both"/>
        <w:rPr>
          <w:rFonts w:cstheme="minorHAnsi"/>
        </w:rPr>
      </w:pPr>
    </w:p>
    <w:p w14:paraId="53CB5A8C" w14:textId="77777777" w:rsidR="00B20C69" w:rsidRPr="00674960" w:rsidRDefault="0020004F" w:rsidP="00616814">
      <w:pPr>
        <w:spacing w:line="276" w:lineRule="auto"/>
        <w:jc w:val="both"/>
        <w:rPr>
          <w:rFonts w:cstheme="minorHAnsi"/>
          <w:color w:val="384575"/>
        </w:rPr>
      </w:pPr>
      <w:r w:rsidRPr="00674960">
        <w:rPr>
          <w:color w:val="384575"/>
        </w:rPr>
        <w:lastRenderedPageBreak/>
        <w:t>Podle zásady přímého účinku musí být ustanovení jasná, přesná</w:t>
      </w:r>
      <w:r w:rsidR="00460264" w:rsidRPr="00674960">
        <w:rPr>
          <w:color w:val="384575"/>
        </w:rPr>
        <w:t xml:space="preserve"> a </w:t>
      </w:r>
      <w:r w:rsidRPr="00674960">
        <w:rPr>
          <w:color w:val="384575"/>
        </w:rPr>
        <w:t>bezpodmínečná, aby se jich mohl jednotlivec dovolávat. Proto se lze dovolávat práv, ale nikoli zásad.</w:t>
      </w:r>
    </w:p>
    <w:p w14:paraId="3B5D8414" w14:textId="77777777" w:rsidR="00B20C69" w:rsidRPr="00674960" w:rsidRDefault="00B20C69" w:rsidP="00616814">
      <w:pPr>
        <w:spacing w:line="276" w:lineRule="auto"/>
        <w:jc w:val="both"/>
        <w:rPr>
          <w:rFonts w:cstheme="minorHAnsi"/>
          <w:color w:val="384575"/>
        </w:rPr>
      </w:pPr>
    </w:p>
    <w:p w14:paraId="0DA0B73B" w14:textId="77777777" w:rsidR="00EC2273" w:rsidRPr="00674960" w:rsidRDefault="0020004F" w:rsidP="00616814">
      <w:pPr>
        <w:spacing w:line="276" w:lineRule="auto"/>
        <w:jc w:val="both"/>
        <w:rPr>
          <w:rFonts w:cstheme="minorHAnsi"/>
          <w:color w:val="384575"/>
        </w:rPr>
      </w:pPr>
      <w:r w:rsidRPr="00674960">
        <w:rPr>
          <w:color w:val="384575"/>
        </w:rPr>
        <w:t xml:space="preserve">V </w:t>
      </w:r>
      <w:r w:rsidR="00460264" w:rsidRPr="00674960">
        <w:rPr>
          <w:color w:val="384575"/>
        </w:rPr>
        <w:t>čl. </w:t>
      </w:r>
      <w:r w:rsidRPr="00674960">
        <w:rPr>
          <w:color w:val="384575"/>
        </w:rPr>
        <w:t>51 odst. 1 Listiny je uvedeno, že zásady musí být upřesněny</w:t>
      </w:r>
      <w:r w:rsidR="00460264" w:rsidRPr="00674960">
        <w:rPr>
          <w:color w:val="384575"/>
        </w:rPr>
        <w:t xml:space="preserve"> a </w:t>
      </w:r>
      <w:r w:rsidRPr="00674960">
        <w:rPr>
          <w:color w:val="384575"/>
        </w:rPr>
        <w:t>rozvedeny</w:t>
      </w:r>
      <w:r w:rsidR="00460264" w:rsidRPr="00674960">
        <w:rPr>
          <w:color w:val="384575"/>
        </w:rPr>
        <w:t xml:space="preserve"> v </w:t>
      </w:r>
      <w:r w:rsidRPr="00674960">
        <w:rPr>
          <w:color w:val="384575"/>
        </w:rPr>
        <w:t xml:space="preserve">unijním nebo vnitrostátním právu Podobně lze odkázat také na </w:t>
      </w:r>
      <w:r w:rsidR="00460264" w:rsidRPr="00674960">
        <w:rPr>
          <w:color w:val="384575"/>
        </w:rPr>
        <w:t>čl. </w:t>
      </w:r>
      <w:r w:rsidRPr="00674960">
        <w:rPr>
          <w:color w:val="384575"/>
        </w:rPr>
        <w:t>22 odst. 5 Listiny, který dodává, že zásady hrají ústřední roli při výkladu pravidel, která se dále vyvíjejí. Definice práv</w:t>
      </w:r>
      <w:r w:rsidR="00460264" w:rsidRPr="00674960">
        <w:rPr>
          <w:color w:val="384575"/>
        </w:rPr>
        <w:t xml:space="preserve"> a </w:t>
      </w:r>
      <w:r w:rsidRPr="00674960">
        <w:rPr>
          <w:color w:val="384575"/>
        </w:rPr>
        <w:t>zásad</w:t>
      </w:r>
      <w:r w:rsidR="00460264" w:rsidRPr="00674960">
        <w:rPr>
          <w:color w:val="384575"/>
        </w:rPr>
        <w:t xml:space="preserve"> a </w:t>
      </w:r>
      <w:r w:rsidRPr="00674960">
        <w:rPr>
          <w:color w:val="384575"/>
        </w:rPr>
        <w:t xml:space="preserve">rozdíl mezi těmito dvěma pojmy však SDEU dosud neobjasnil. </w:t>
      </w:r>
    </w:p>
    <w:p w14:paraId="69A1FC3E" w14:textId="77777777" w:rsidR="00EC2273" w:rsidRPr="001E6D6E" w:rsidRDefault="00E349D7" w:rsidP="00EC2273">
      <w:pPr>
        <w:spacing w:line="276" w:lineRule="auto"/>
        <w:jc w:val="both"/>
        <w:rPr>
          <w:rFonts w:cstheme="minorHAnsi"/>
        </w:rPr>
      </w:pPr>
      <w:r>
        <w:rPr>
          <w:noProof/>
          <w:lang w:eastAsia="cs-CZ"/>
        </w:rPr>
        <w:drawing>
          <wp:inline distT="0" distB="0" distL="0" distR="0" wp14:anchorId="1285790B" wp14:editId="25815BA9">
            <wp:extent cx="5400040" cy="2318385"/>
            <wp:effectExtent l="0" t="0" r="0" b="0"/>
            <wp:docPr id="1" name="Diagrama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0" r:lo="rId21" r:qs="rId22" r:cs="rId23"/>
              </a:graphicData>
            </a:graphic>
          </wp:inline>
        </w:drawing>
      </w:r>
    </w:p>
    <w:p w14:paraId="0656BE01" w14:textId="77777777" w:rsidR="00B20C69" w:rsidRPr="00674960" w:rsidRDefault="00B20C69" w:rsidP="00B20C69">
      <w:pPr>
        <w:spacing w:line="276" w:lineRule="auto"/>
        <w:jc w:val="both"/>
        <w:rPr>
          <w:rFonts w:cstheme="minorHAnsi"/>
          <w:color w:val="384575"/>
        </w:rPr>
      </w:pPr>
      <w:r w:rsidRPr="00674960">
        <w:rPr>
          <w:color w:val="384575"/>
        </w:rPr>
        <w:t>Evropský soudní dvůr také používá (a používal</w:t>
      </w:r>
      <w:r w:rsidR="00460264" w:rsidRPr="00674960">
        <w:rPr>
          <w:color w:val="384575"/>
        </w:rPr>
        <w:t xml:space="preserve"> i </w:t>
      </w:r>
      <w:r w:rsidRPr="00674960">
        <w:rPr>
          <w:color w:val="384575"/>
        </w:rPr>
        <w:t>před uplatňováním Listiny) obecné zásady práva Evropské unie, které mají být použity vnitrostátním soudcem ve sporu mezi dvěma jednotlivci.</w:t>
      </w:r>
    </w:p>
    <w:p w14:paraId="48C3D9EB" w14:textId="77777777" w:rsidR="00B20C69" w:rsidRPr="007D56D6" w:rsidRDefault="00B20C69" w:rsidP="00B20C69">
      <w:pPr>
        <w:spacing w:line="276" w:lineRule="auto"/>
        <w:jc w:val="both"/>
        <w:rPr>
          <w:rFonts w:cstheme="minorHAnsi"/>
        </w:rPr>
      </w:pPr>
    </w:p>
    <w:tbl>
      <w:tblPr>
        <w:tblStyle w:val="Mkatabulky"/>
        <w:tblW w:w="8613"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E2F3" w:themeFill="accent1" w:themeFillTint="33"/>
        <w:tblLook w:val="04A0" w:firstRow="1" w:lastRow="0" w:firstColumn="1" w:lastColumn="0" w:noHBand="0" w:noVBand="1"/>
      </w:tblPr>
      <w:tblGrid>
        <w:gridCol w:w="8613"/>
      </w:tblGrid>
      <w:tr w:rsidR="00B20C69" w:rsidRPr="0027595F" w14:paraId="32360871" w14:textId="77777777" w:rsidTr="0048041D">
        <w:tc>
          <w:tcPr>
            <w:tcW w:w="8613" w:type="dxa"/>
            <w:shd w:val="clear" w:color="auto" w:fill="D9E2F3" w:themeFill="accent1" w:themeFillTint="33"/>
          </w:tcPr>
          <w:p w14:paraId="1C8BF6FF" w14:textId="23EF39F9" w:rsidR="00B20C69" w:rsidRPr="000C25C9" w:rsidRDefault="000C25C9" w:rsidP="002830C0">
            <w:pPr>
              <w:spacing w:line="276" w:lineRule="auto"/>
              <w:jc w:val="right"/>
              <w:rPr>
                <w:rFonts w:asciiTheme="minorHAnsi" w:hAnsiTheme="minorHAnsi" w:cstheme="minorHAnsi"/>
                <w:color w:val="000000" w:themeColor="text1"/>
                <w:sz w:val="20"/>
                <w:szCs w:val="20"/>
              </w:rPr>
            </w:pPr>
            <w:hyperlink r:id="rId25" w:history="1">
              <w:r w:rsidR="00B20C69" w:rsidRPr="000C25C9">
                <w:rPr>
                  <w:rStyle w:val="Hypertextovodkaz"/>
                  <w:rFonts w:asciiTheme="minorHAnsi" w:hAnsiTheme="minorHAnsi"/>
                  <w:b/>
                  <w:color w:val="000000" w:themeColor="text1"/>
                  <w:sz w:val="20"/>
                </w:rPr>
                <w:t xml:space="preserve">Rozsudek Soudního dvora (Velkého senátu) ze dne ledna 2010, </w:t>
              </w:r>
              <w:proofErr w:type="spellStart"/>
              <w:r w:rsidR="00B20C69" w:rsidRPr="000C25C9">
                <w:rPr>
                  <w:rStyle w:val="Hypertextovodkaz"/>
                  <w:rFonts w:asciiTheme="minorHAnsi" w:hAnsiTheme="minorHAnsi"/>
                  <w:b/>
                  <w:i/>
                  <w:iCs/>
                  <w:color w:val="000000" w:themeColor="text1"/>
                  <w:sz w:val="20"/>
                </w:rPr>
                <w:t>Seda</w:t>
              </w:r>
              <w:proofErr w:type="spellEnd"/>
              <w:r w:rsidR="00B20C69" w:rsidRPr="000C25C9">
                <w:rPr>
                  <w:rStyle w:val="Hypertextovodkaz"/>
                  <w:rFonts w:asciiTheme="minorHAnsi" w:hAnsiTheme="minorHAnsi"/>
                  <w:b/>
                  <w:i/>
                  <w:iCs/>
                  <w:color w:val="000000" w:themeColor="text1"/>
                  <w:sz w:val="20"/>
                </w:rPr>
                <w:t xml:space="preserve"> </w:t>
              </w:r>
              <w:proofErr w:type="spellStart"/>
              <w:r w:rsidR="00B20C69" w:rsidRPr="000C25C9">
                <w:rPr>
                  <w:rStyle w:val="Hypertextovodkaz"/>
                  <w:rFonts w:asciiTheme="minorHAnsi" w:hAnsiTheme="minorHAnsi"/>
                  <w:b/>
                  <w:i/>
                  <w:iCs/>
                  <w:color w:val="000000" w:themeColor="text1"/>
                  <w:sz w:val="20"/>
                </w:rPr>
                <w:t>Kücükdeveci</w:t>
              </w:r>
              <w:proofErr w:type="spellEnd"/>
              <w:r w:rsidR="00B20C69" w:rsidRPr="000C25C9">
                <w:rPr>
                  <w:rStyle w:val="Hypertextovodkaz"/>
                  <w:rFonts w:asciiTheme="minorHAnsi" w:hAnsiTheme="minorHAnsi"/>
                  <w:b/>
                  <w:i/>
                  <w:iCs/>
                  <w:color w:val="000000" w:themeColor="text1"/>
                  <w:sz w:val="20"/>
                </w:rPr>
                <w:t xml:space="preserve"> v. </w:t>
              </w:r>
              <w:proofErr w:type="spellStart"/>
              <w:r w:rsidR="00B20C69" w:rsidRPr="000C25C9">
                <w:rPr>
                  <w:rStyle w:val="Hypertextovodkaz"/>
                  <w:rFonts w:asciiTheme="minorHAnsi" w:hAnsiTheme="minorHAnsi"/>
                  <w:b/>
                  <w:i/>
                  <w:iCs/>
                  <w:color w:val="000000" w:themeColor="text1"/>
                  <w:sz w:val="20"/>
                </w:rPr>
                <w:t>Swedex</w:t>
              </w:r>
              <w:proofErr w:type="spellEnd"/>
              <w:r w:rsidR="00B20C69" w:rsidRPr="000C25C9">
                <w:rPr>
                  <w:rStyle w:val="Hypertextovodkaz"/>
                  <w:rFonts w:asciiTheme="minorHAnsi" w:hAnsiTheme="minorHAnsi"/>
                  <w:b/>
                  <w:i/>
                  <w:iCs/>
                  <w:color w:val="000000" w:themeColor="text1"/>
                  <w:sz w:val="20"/>
                </w:rPr>
                <w:t xml:space="preserve"> </w:t>
              </w:r>
              <w:proofErr w:type="spellStart"/>
              <w:r w:rsidR="00B20C69" w:rsidRPr="000C25C9">
                <w:rPr>
                  <w:rStyle w:val="Hypertextovodkaz"/>
                  <w:rFonts w:asciiTheme="minorHAnsi" w:hAnsiTheme="minorHAnsi"/>
                  <w:b/>
                  <w:i/>
                  <w:iCs/>
                  <w:color w:val="000000" w:themeColor="text1"/>
                  <w:sz w:val="20"/>
                </w:rPr>
                <w:t>Gmbh</w:t>
              </w:r>
              <w:proofErr w:type="spellEnd"/>
              <w:r w:rsidR="00B20C69" w:rsidRPr="000C25C9">
                <w:rPr>
                  <w:rStyle w:val="Hypertextovodkaz"/>
                  <w:rFonts w:asciiTheme="minorHAnsi" w:hAnsiTheme="minorHAnsi"/>
                  <w:b/>
                  <w:i/>
                  <w:iCs/>
                  <w:color w:val="000000" w:themeColor="text1"/>
                  <w:sz w:val="20"/>
                </w:rPr>
                <w:t xml:space="preserve"> &amp; Co. KG</w:t>
              </w:r>
              <w:r w:rsidR="00B20C69" w:rsidRPr="000C25C9">
                <w:rPr>
                  <w:rStyle w:val="Hypertextovodkaz"/>
                  <w:rFonts w:asciiTheme="minorHAnsi" w:hAnsiTheme="minorHAnsi"/>
                  <w:b/>
                  <w:color w:val="000000" w:themeColor="text1"/>
                  <w:sz w:val="20"/>
                </w:rPr>
                <w:t>, C-555/07,</w:t>
              </w:r>
              <w:r w:rsidR="0048041D" w:rsidRPr="000C25C9">
                <w:rPr>
                  <w:rStyle w:val="Hypertextovodkaz"/>
                  <w:rFonts w:asciiTheme="minorHAnsi" w:hAnsiTheme="minorHAnsi"/>
                  <w:b/>
                  <w:color w:val="000000" w:themeColor="text1"/>
                  <w:sz w:val="20"/>
                </w:rPr>
                <w:t xml:space="preserve"> </w:t>
              </w:r>
              <w:r w:rsidR="002830C0" w:rsidRPr="000C25C9">
                <w:rPr>
                  <w:rStyle w:val="Hypertextovodkaz"/>
                  <w:rFonts w:asciiTheme="minorHAnsi" w:hAnsiTheme="minorHAnsi"/>
                  <w:b/>
                  <w:color w:val="000000" w:themeColor="text1"/>
                  <w:sz w:val="20"/>
                </w:rPr>
                <w:t>ECLI:EU: C:2010:21</w:t>
              </w:r>
            </w:hyperlink>
          </w:p>
          <w:p w14:paraId="408F5A52" w14:textId="77777777" w:rsidR="00B20C69" w:rsidRPr="007D56D6" w:rsidRDefault="00B20C69" w:rsidP="00B20C69">
            <w:pPr>
              <w:spacing w:line="276" w:lineRule="auto"/>
              <w:jc w:val="both"/>
              <w:rPr>
                <w:rFonts w:asciiTheme="minorHAnsi" w:hAnsiTheme="minorHAnsi" w:cstheme="minorHAnsi"/>
                <w:sz w:val="20"/>
                <w:szCs w:val="20"/>
              </w:rPr>
            </w:pPr>
          </w:p>
          <w:p w14:paraId="5688D2C8" w14:textId="77777777" w:rsidR="00B20C69" w:rsidRDefault="00B20C69" w:rsidP="00B20C69">
            <w:pPr>
              <w:spacing w:line="276" w:lineRule="auto"/>
              <w:jc w:val="both"/>
              <w:rPr>
                <w:rFonts w:asciiTheme="minorHAnsi" w:hAnsiTheme="minorHAnsi"/>
                <w:sz w:val="20"/>
              </w:rPr>
            </w:pPr>
            <w:r>
              <w:rPr>
                <w:rFonts w:asciiTheme="minorHAnsi" w:hAnsiTheme="minorHAnsi"/>
                <w:sz w:val="20"/>
              </w:rPr>
              <w:t>Tato věc se týká stížnosti na opatření, které diskriminuje na základě věku. Vnitrostátní právo stanoví, že pro účely výpočtu délky výpovědní doby se nepřihlíží</w:t>
            </w:r>
            <w:r w:rsidR="00460264">
              <w:rPr>
                <w:rFonts w:asciiTheme="minorHAnsi" w:hAnsiTheme="minorHAnsi"/>
                <w:sz w:val="20"/>
              </w:rPr>
              <w:t xml:space="preserve"> k </w:t>
            </w:r>
            <w:r>
              <w:rPr>
                <w:rFonts w:asciiTheme="minorHAnsi" w:hAnsiTheme="minorHAnsi"/>
                <w:sz w:val="20"/>
              </w:rPr>
              <w:t>dobám zaměstnání dosaženým před dovršením 25 let.</w:t>
            </w:r>
          </w:p>
          <w:p w14:paraId="5A0B1813" w14:textId="77777777" w:rsidR="0048041D" w:rsidRDefault="0048041D" w:rsidP="00B20C69">
            <w:pPr>
              <w:spacing w:line="276" w:lineRule="auto"/>
              <w:jc w:val="both"/>
              <w:rPr>
                <w:rFonts w:asciiTheme="minorHAnsi" w:hAnsiTheme="minorHAnsi" w:cstheme="minorHAnsi"/>
                <w:sz w:val="20"/>
                <w:szCs w:val="20"/>
              </w:rPr>
            </w:pPr>
          </w:p>
          <w:p w14:paraId="76A76D70" w14:textId="77777777" w:rsidR="0049009B" w:rsidRPr="00575BDA" w:rsidRDefault="0049009B" w:rsidP="0049009B">
            <w:pPr>
              <w:spacing w:line="276" w:lineRule="auto"/>
              <w:jc w:val="both"/>
              <w:rPr>
                <w:rFonts w:asciiTheme="minorHAnsi" w:hAnsiTheme="minorHAnsi" w:cstheme="minorHAnsi"/>
                <w:sz w:val="20"/>
                <w:szCs w:val="20"/>
              </w:rPr>
            </w:pPr>
            <w:r>
              <w:rPr>
                <w:rFonts w:asciiTheme="minorHAnsi" w:hAnsiTheme="minorHAnsi"/>
                <w:sz w:val="20"/>
              </w:rPr>
              <w:t xml:space="preserve">S. </w:t>
            </w:r>
            <w:proofErr w:type="spellStart"/>
            <w:r>
              <w:rPr>
                <w:rFonts w:asciiTheme="minorHAnsi" w:hAnsiTheme="minorHAnsi"/>
                <w:sz w:val="20"/>
              </w:rPr>
              <w:t>Kücükdeveci</w:t>
            </w:r>
            <w:proofErr w:type="spellEnd"/>
            <w:r>
              <w:rPr>
                <w:rFonts w:asciiTheme="minorHAnsi" w:hAnsiTheme="minorHAnsi"/>
                <w:sz w:val="20"/>
              </w:rPr>
              <w:t xml:space="preserve"> dostala dopisem ze dne 19. prosince 2006 od svého zaměstnavatele, společnosti </w:t>
            </w:r>
            <w:proofErr w:type="spellStart"/>
            <w:r>
              <w:rPr>
                <w:rFonts w:asciiTheme="minorHAnsi" w:hAnsiTheme="minorHAnsi"/>
                <w:sz w:val="20"/>
              </w:rPr>
              <w:t>Swedex</w:t>
            </w:r>
            <w:proofErr w:type="spellEnd"/>
            <w:r>
              <w:rPr>
                <w:rFonts w:asciiTheme="minorHAnsi" w:hAnsiTheme="minorHAnsi"/>
                <w:sz w:val="20"/>
              </w:rPr>
              <w:t>, výpověď. Zaměstnavatel vypočetl výpovědní dobu jako by</w:t>
            </w:r>
            <w:r w:rsidR="00460264">
              <w:rPr>
                <w:rFonts w:asciiTheme="minorHAnsi" w:hAnsiTheme="minorHAnsi"/>
                <w:sz w:val="20"/>
              </w:rPr>
              <w:t xml:space="preserve"> u </w:t>
            </w:r>
            <w:r>
              <w:rPr>
                <w:rFonts w:asciiTheme="minorHAnsi" w:hAnsiTheme="minorHAnsi"/>
                <w:sz w:val="20"/>
              </w:rPr>
              <w:t>něj zaměstnankyně pracovala 3 roky, ačkoliv její pracovní poměr trval 10 let. Zaměstnankyně napadla ustanovení zákona, podle kterého se při výpočtu délky výpovědní doby nepřihlíží</w:t>
            </w:r>
            <w:r w:rsidR="00460264">
              <w:rPr>
                <w:rFonts w:asciiTheme="minorHAnsi" w:hAnsiTheme="minorHAnsi"/>
                <w:sz w:val="20"/>
              </w:rPr>
              <w:t xml:space="preserve"> k </w:t>
            </w:r>
            <w:r>
              <w:rPr>
                <w:rFonts w:asciiTheme="minorHAnsi" w:hAnsiTheme="minorHAnsi"/>
                <w:sz w:val="20"/>
              </w:rPr>
              <w:t>dobám zaměstnání dosaženým před dovršením věku 25 let. Tvrdila, že tato ustanovení představují diskriminaci na základě věku, což je</w:t>
            </w:r>
            <w:r w:rsidR="00460264">
              <w:rPr>
                <w:rFonts w:asciiTheme="minorHAnsi" w:hAnsiTheme="minorHAnsi"/>
                <w:sz w:val="20"/>
              </w:rPr>
              <w:t xml:space="preserve"> v </w:t>
            </w:r>
            <w:r>
              <w:rPr>
                <w:rFonts w:asciiTheme="minorHAnsi" w:hAnsiTheme="minorHAnsi"/>
                <w:sz w:val="20"/>
              </w:rPr>
              <w:t>rozporu</w:t>
            </w:r>
            <w:r w:rsidR="00460264">
              <w:rPr>
                <w:rFonts w:asciiTheme="minorHAnsi" w:hAnsiTheme="minorHAnsi"/>
                <w:sz w:val="20"/>
              </w:rPr>
              <w:t xml:space="preserve"> s </w:t>
            </w:r>
            <w:r>
              <w:rPr>
                <w:rFonts w:asciiTheme="minorHAnsi" w:hAnsiTheme="minorHAnsi"/>
                <w:sz w:val="20"/>
              </w:rPr>
              <w:t>právem Evropské unie.</w:t>
            </w:r>
          </w:p>
          <w:p w14:paraId="101E480B" w14:textId="77777777" w:rsidR="0049009B" w:rsidRPr="007D56D6" w:rsidRDefault="0049009B" w:rsidP="00B20C69">
            <w:pPr>
              <w:spacing w:line="276" w:lineRule="auto"/>
              <w:jc w:val="both"/>
              <w:rPr>
                <w:rFonts w:asciiTheme="minorHAnsi" w:hAnsiTheme="minorHAnsi" w:cstheme="minorHAnsi"/>
                <w:sz w:val="20"/>
                <w:szCs w:val="20"/>
              </w:rPr>
            </w:pPr>
          </w:p>
          <w:p w14:paraId="74BE8644" w14:textId="77777777" w:rsidR="00B20C69" w:rsidRDefault="00B20C69" w:rsidP="00B20C69">
            <w:pPr>
              <w:spacing w:line="276" w:lineRule="auto"/>
              <w:jc w:val="both"/>
              <w:rPr>
                <w:rFonts w:asciiTheme="minorHAnsi" w:hAnsiTheme="minorHAnsi"/>
                <w:sz w:val="20"/>
              </w:rPr>
            </w:pPr>
            <w:r>
              <w:rPr>
                <w:rFonts w:asciiTheme="minorHAnsi" w:hAnsiTheme="minorHAnsi"/>
                <w:sz w:val="20"/>
              </w:rPr>
              <w:t>Zásadu zákazu diskriminace na základě věku, jak je konkretizována směrnicí 2000/78, je nutno vykládat</w:t>
            </w:r>
            <w:r w:rsidR="00460264">
              <w:rPr>
                <w:rFonts w:asciiTheme="minorHAnsi" w:hAnsiTheme="minorHAnsi"/>
                <w:sz w:val="20"/>
              </w:rPr>
              <w:t xml:space="preserve"> v </w:t>
            </w:r>
            <w:r>
              <w:rPr>
                <w:rFonts w:asciiTheme="minorHAnsi" w:hAnsiTheme="minorHAnsi"/>
                <w:sz w:val="20"/>
              </w:rPr>
              <w:t>tom smyslu, že brání takové vnitrostátní právní úpravě, jako je právní úprava dotčená</w:t>
            </w:r>
            <w:r w:rsidR="00460264">
              <w:rPr>
                <w:rFonts w:asciiTheme="minorHAnsi" w:hAnsiTheme="minorHAnsi"/>
                <w:sz w:val="20"/>
              </w:rPr>
              <w:t xml:space="preserve"> v </w:t>
            </w:r>
            <w:r>
              <w:rPr>
                <w:rFonts w:asciiTheme="minorHAnsi" w:hAnsiTheme="minorHAnsi"/>
                <w:sz w:val="20"/>
              </w:rPr>
              <w:t>původním řízení, která stanoví, že se pro účely výpočtu výpovědní doby nepřihlíží</w:t>
            </w:r>
            <w:r w:rsidR="00460264">
              <w:rPr>
                <w:rFonts w:asciiTheme="minorHAnsi" w:hAnsiTheme="minorHAnsi"/>
                <w:sz w:val="20"/>
              </w:rPr>
              <w:t xml:space="preserve"> k </w:t>
            </w:r>
            <w:r>
              <w:rPr>
                <w:rFonts w:asciiTheme="minorHAnsi" w:hAnsiTheme="minorHAnsi"/>
                <w:sz w:val="20"/>
              </w:rPr>
              <w:t xml:space="preserve">dobám zaměstnání dosaženým zaměstnancem před dovršením věku 25 let. </w:t>
            </w:r>
          </w:p>
          <w:p w14:paraId="4C31C85A" w14:textId="77777777" w:rsidR="0048041D" w:rsidRPr="0027595F" w:rsidRDefault="0048041D" w:rsidP="00B20C69">
            <w:pPr>
              <w:spacing w:line="276" w:lineRule="auto"/>
              <w:jc w:val="both"/>
              <w:rPr>
                <w:rFonts w:asciiTheme="minorHAnsi" w:hAnsiTheme="minorHAnsi" w:cstheme="minorHAnsi"/>
                <w:sz w:val="20"/>
                <w:szCs w:val="20"/>
              </w:rPr>
            </w:pPr>
          </w:p>
          <w:p w14:paraId="2CE00308" w14:textId="77777777" w:rsidR="00B20C69" w:rsidRDefault="00B20C69" w:rsidP="00B20C69">
            <w:pPr>
              <w:spacing w:line="276" w:lineRule="auto"/>
              <w:jc w:val="both"/>
              <w:rPr>
                <w:rFonts w:asciiTheme="minorHAnsi" w:hAnsiTheme="minorHAnsi"/>
                <w:sz w:val="20"/>
              </w:rPr>
            </w:pPr>
            <w:r>
              <w:rPr>
                <w:rFonts w:asciiTheme="minorHAnsi" w:hAnsiTheme="minorHAnsi"/>
                <w:sz w:val="20"/>
              </w:rPr>
              <w:t>Směrnice 2000/78 pouze konkretizuje zásadu rovného zacházení</w:t>
            </w:r>
            <w:r w:rsidR="00460264">
              <w:rPr>
                <w:rFonts w:asciiTheme="minorHAnsi" w:hAnsiTheme="minorHAnsi"/>
                <w:sz w:val="20"/>
              </w:rPr>
              <w:t xml:space="preserve"> v </w:t>
            </w:r>
            <w:r>
              <w:rPr>
                <w:rFonts w:asciiTheme="minorHAnsi" w:hAnsiTheme="minorHAnsi"/>
                <w:sz w:val="20"/>
              </w:rPr>
              <w:t>oblasti zaměstnání</w:t>
            </w:r>
            <w:r w:rsidR="00460264">
              <w:rPr>
                <w:rFonts w:asciiTheme="minorHAnsi" w:hAnsiTheme="minorHAnsi"/>
                <w:sz w:val="20"/>
              </w:rPr>
              <w:t xml:space="preserve"> a </w:t>
            </w:r>
            <w:r>
              <w:rPr>
                <w:rFonts w:asciiTheme="minorHAnsi" w:hAnsiTheme="minorHAnsi"/>
                <w:sz w:val="20"/>
              </w:rPr>
              <w:t>povolání</w:t>
            </w:r>
            <w:r w:rsidR="00460264">
              <w:rPr>
                <w:rFonts w:asciiTheme="minorHAnsi" w:hAnsiTheme="minorHAnsi"/>
                <w:sz w:val="20"/>
              </w:rPr>
              <w:t xml:space="preserve"> a </w:t>
            </w:r>
            <w:r>
              <w:rPr>
                <w:rFonts w:asciiTheme="minorHAnsi" w:hAnsiTheme="minorHAnsi"/>
                <w:sz w:val="20"/>
              </w:rPr>
              <w:t>dále, že zásada zákazu diskriminace na základě věku je obecnou zásadou práva Unie vzhledem</w:t>
            </w:r>
            <w:r w:rsidR="00460264">
              <w:rPr>
                <w:rFonts w:asciiTheme="minorHAnsi" w:hAnsiTheme="minorHAnsi"/>
                <w:sz w:val="20"/>
              </w:rPr>
              <w:t xml:space="preserve"> k </w:t>
            </w:r>
            <w:r>
              <w:rPr>
                <w:rFonts w:asciiTheme="minorHAnsi" w:hAnsiTheme="minorHAnsi"/>
                <w:sz w:val="20"/>
              </w:rPr>
              <w:t>tomu, že je zvláštním vyjádřením obecné zásady rovného zacházení.</w:t>
            </w:r>
          </w:p>
          <w:p w14:paraId="28E117AF" w14:textId="77777777" w:rsidR="0048041D" w:rsidRPr="0027595F" w:rsidRDefault="0048041D" w:rsidP="00B20C69">
            <w:pPr>
              <w:spacing w:line="276" w:lineRule="auto"/>
              <w:jc w:val="both"/>
              <w:rPr>
                <w:rFonts w:asciiTheme="minorHAnsi" w:hAnsiTheme="minorHAnsi" w:cstheme="minorHAnsi"/>
                <w:sz w:val="20"/>
                <w:szCs w:val="20"/>
              </w:rPr>
            </w:pPr>
          </w:p>
          <w:p w14:paraId="5E565CE1" w14:textId="77777777" w:rsidR="00B20C69" w:rsidRPr="0027595F" w:rsidRDefault="00B20C69" w:rsidP="00B20C69">
            <w:pPr>
              <w:spacing w:line="276" w:lineRule="auto"/>
              <w:jc w:val="both"/>
              <w:rPr>
                <w:rFonts w:asciiTheme="minorHAnsi" w:hAnsiTheme="minorHAnsi" w:cstheme="minorHAnsi"/>
                <w:sz w:val="20"/>
                <w:szCs w:val="20"/>
              </w:rPr>
            </w:pPr>
            <w:r>
              <w:rPr>
                <w:rFonts w:asciiTheme="minorHAnsi" w:hAnsiTheme="minorHAnsi"/>
                <w:sz w:val="20"/>
              </w:rPr>
              <w:t>V případě ustanovení vnitrostátního práva, které spadá do rozsahu působnosti práva Unie,</w:t>
            </w:r>
            <w:r w:rsidR="00460264">
              <w:rPr>
                <w:rFonts w:asciiTheme="minorHAnsi" w:hAnsiTheme="minorHAnsi"/>
                <w:sz w:val="20"/>
              </w:rPr>
              <w:t xml:space="preserve"> o </w:t>
            </w:r>
            <w:r>
              <w:rPr>
                <w:rFonts w:asciiTheme="minorHAnsi" w:hAnsiTheme="minorHAnsi"/>
                <w:sz w:val="20"/>
              </w:rPr>
              <w:t xml:space="preserve">němž se </w:t>
            </w:r>
            <w:r>
              <w:rPr>
                <w:rFonts w:asciiTheme="minorHAnsi" w:hAnsiTheme="minorHAnsi"/>
                <w:sz w:val="20"/>
              </w:rPr>
              <w:lastRenderedPageBreak/>
              <w:t>vnitrostátní soud domnívá, že je neslučitelné</w:t>
            </w:r>
            <w:r w:rsidR="00460264">
              <w:rPr>
                <w:rFonts w:asciiTheme="minorHAnsi" w:hAnsiTheme="minorHAnsi"/>
                <w:sz w:val="20"/>
              </w:rPr>
              <w:t xml:space="preserve"> s </w:t>
            </w:r>
            <w:r>
              <w:rPr>
                <w:rFonts w:asciiTheme="minorHAnsi" w:hAnsiTheme="minorHAnsi"/>
                <w:sz w:val="20"/>
              </w:rPr>
              <w:t>uvedenou zásadou,</w:t>
            </w:r>
            <w:r w:rsidR="00460264">
              <w:rPr>
                <w:rFonts w:asciiTheme="minorHAnsi" w:hAnsiTheme="minorHAnsi"/>
                <w:sz w:val="20"/>
              </w:rPr>
              <w:t xml:space="preserve"> a </w:t>
            </w:r>
            <w:r>
              <w:rPr>
                <w:rFonts w:asciiTheme="minorHAnsi" w:hAnsiTheme="minorHAnsi"/>
                <w:sz w:val="20"/>
              </w:rPr>
              <w:t>u něhož se jeví výklad, který by byl</w:t>
            </w:r>
            <w:r w:rsidR="00460264">
              <w:rPr>
                <w:rFonts w:asciiTheme="minorHAnsi" w:hAnsiTheme="minorHAnsi"/>
                <w:sz w:val="20"/>
              </w:rPr>
              <w:t xml:space="preserve"> s </w:t>
            </w:r>
            <w:r>
              <w:rPr>
                <w:rFonts w:asciiTheme="minorHAnsi" w:hAnsiTheme="minorHAnsi"/>
                <w:sz w:val="20"/>
              </w:rPr>
              <w:t>touto zásadou</w:t>
            </w:r>
            <w:r w:rsidR="00460264">
              <w:rPr>
                <w:rFonts w:asciiTheme="minorHAnsi" w:hAnsiTheme="minorHAnsi"/>
                <w:sz w:val="20"/>
              </w:rPr>
              <w:t xml:space="preserve"> v </w:t>
            </w:r>
            <w:r>
              <w:rPr>
                <w:rFonts w:asciiTheme="minorHAnsi" w:hAnsiTheme="minorHAnsi"/>
                <w:sz w:val="20"/>
              </w:rPr>
              <w:t xml:space="preserve">souladu, jako nemožný, je uvedený soud povinen toto ustanovení nepoužít, aniž by byl povinen předem předložit Soudnímu dvoru předběžnou </w:t>
            </w:r>
            <w:proofErr w:type="gramStart"/>
            <w:r>
              <w:rPr>
                <w:rFonts w:asciiTheme="minorHAnsi" w:hAnsiTheme="minorHAnsi"/>
                <w:sz w:val="20"/>
              </w:rPr>
              <w:t>otázku</w:t>
            </w:r>
            <w:proofErr w:type="gramEnd"/>
            <w:r w:rsidR="00460264">
              <w:rPr>
                <w:rFonts w:asciiTheme="minorHAnsi" w:hAnsiTheme="minorHAnsi"/>
                <w:sz w:val="20"/>
              </w:rPr>
              <w:t xml:space="preserve"> a </w:t>
            </w:r>
            <w:r>
              <w:rPr>
                <w:rFonts w:asciiTheme="minorHAnsi" w:hAnsiTheme="minorHAnsi"/>
                <w:sz w:val="20"/>
              </w:rPr>
              <w:t>aniž by mu současně</w:t>
            </w:r>
            <w:r w:rsidR="00460264">
              <w:rPr>
                <w:rFonts w:asciiTheme="minorHAnsi" w:hAnsiTheme="minorHAnsi"/>
                <w:sz w:val="20"/>
              </w:rPr>
              <w:t xml:space="preserve"> v </w:t>
            </w:r>
            <w:r>
              <w:rPr>
                <w:rFonts w:asciiTheme="minorHAnsi" w:hAnsiTheme="minorHAnsi"/>
                <w:sz w:val="20"/>
              </w:rPr>
              <w:t>jejím předložení cokoli bránilo.</w:t>
            </w:r>
          </w:p>
        </w:tc>
      </w:tr>
    </w:tbl>
    <w:p w14:paraId="5DEEB5AF" w14:textId="77777777" w:rsidR="00EC2273" w:rsidRPr="007D56D6" w:rsidRDefault="00EC2273" w:rsidP="00EC2273">
      <w:pPr>
        <w:spacing w:line="276" w:lineRule="auto"/>
        <w:jc w:val="both"/>
        <w:rPr>
          <w:rFonts w:cstheme="minorHAnsi"/>
        </w:rPr>
      </w:pPr>
    </w:p>
    <w:p w14:paraId="29BCE43A" w14:textId="77777777" w:rsidR="00EC2273" w:rsidRPr="00674960" w:rsidRDefault="00EC1B7F" w:rsidP="007D677E">
      <w:pPr>
        <w:spacing w:after="120" w:line="276" w:lineRule="auto"/>
        <w:jc w:val="both"/>
        <w:rPr>
          <w:rFonts w:cstheme="minorHAnsi"/>
          <w:color w:val="384575"/>
        </w:rPr>
      </w:pPr>
      <w:r w:rsidRPr="00674960">
        <w:rPr>
          <w:color w:val="384575"/>
        </w:rPr>
        <w:t>Pokud jde</w:t>
      </w:r>
      <w:r w:rsidR="00460264" w:rsidRPr="00674960">
        <w:rPr>
          <w:color w:val="384575"/>
        </w:rPr>
        <w:t xml:space="preserve"> o </w:t>
      </w:r>
      <w:r w:rsidRPr="00674960">
        <w:rPr>
          <w:color w:val="384575"/>
        </w:rPr>
        <w:t>koexistenci Listiny</w:t>
      </w:r>
      <w:r w:rsidR="00460264" w:rsidRPr="00674960">
        <w:rPr>
          <w:color w:val="384575"/>
        </w:rPr>
        <w:t xml:space="preserve"> s </w:t>
      </w:r>
      <w:r w:rsidRPr="00674960">
        <w:rPr>
          <w:color w:val="384575"/>
        </w:rPr>
        <w:t xml:space="preserve">vnitrostátními ústavami, </w:t>
      </w:r>
      <w:r w:rsidR="00460264" w:rsidRPr="00674960">
        <w:rPr>
          <w:color w:val="384575"/>
        </w:rPr>
        <w:t>čl. </w:t>
      </w:r>
      <w:r w:rsidRPr="00674960">
        <w:rPr>
          <w:color w:val="384575"/>
        </w:rPr>
        <w:t>52 odst. 4 poukazuje na nutnost harmonického výkladu mezi právy Listiny</w:t>
      </w:r>
      <w:r w:rsidR="00460264" w:rsidRPr="00674960">
        <w:rPr>
          <w:color w:val="384575"/>
        </w:rPr>
        <w:t xml:space="preserve"> a </w:t>
      </w:r>
      <w:r w:rsidRPr="00674960">
        <w:rPr>
          <w:color w:val="384575"/>
        </w:rPr>
        <w:t xml:space="preserve">tradicemi členských států. Toto výkladové pravidlo vychází ze znění </w:t>
      </w:r>
      <w:r w:rsidR="00460264" w:rsidRPr="00674960">
        <w:rPr>
          <w:color w:val="384575"/>
        </w:rPr>
        <w:t>čl. </w:t>
      </w:r>
      <w:r w:rsidRPr="00674960">
        <w:rPr>
          <w:color w:val="384575"/>
        </w:rPr>
        <w:t>6 odst. 3 SEU</w:t>
      </w:r>
      <w:r w:rsidR="00460264" w:rsidRPr="00674960">
        <w:rPr>
          <w:color w:val="384575"/>
        </w:rPr>
        <w:t xml:space="preserve"> a </w:t>
      </w:r>
      <w:r w:rsidRPr="00674960">
        <w:rPr>
          <w:color w:val="384575"/>
        </w:rPr>
        <w:t>náležitě zohledňuje přístup ke společným ústavním tradicím, který uplatňuje Soudní dvůr. Podle tohoto pravidla, spíše než zvolením postupu „nejnižšího společného jmenovatele“, by se měla dotčená práva Listiny vykládat způsobem, který nabízí vysoký standard ochrany, dostatečný pro právo Unie</w:t>
      </w:r>
      <w:r w:rsidR="00460264" w:rsidRPr="00674960">
        <w:rPr>
          <w:color w:val="384575"/>
        </w:rPr>
        <w:t xml:space="preserve"> a </w:t>
      </w:r>
      <w:r w:rsidRPr="00674960">
        <w:rPr>
          <w:color w:val="384575"/>
        </w:rPr>
        <w:t>v souladu se společnými ústavními tradicemi.</w:t>
      </w:r>
    </w:p>
    <w:p w14:paraId="4E8C3CE4" w14:textId="77777777" w:rsidR="00771C0C" w:rsidRPr="00674960" w:rsidRDefault="00771C0C" w:rsidP="00771C0C">
      <w:pPr>
        <w:spacing w:line="276" w:lineRule="auto"/>
        <w:jc w:val="both"/>
        <w:rPr>
          <w:rFonts w:cstheme="minorHAnsi"/>
          <w:color w:val="384575"/>
        </w:rPr>
      </w:pPr>
      <w:r w:rsidRPr="00674960">
        <w:rPr>
          <w:color w:val="384575"/>
        </w:rPr>
        <w:t>Tam, kde Listina poskytuje konkrétní úroveň ochrany, má přednost před vnitrostátními ústavními předpisy členských států. Naproti tomu, pokud Listina</w:t>
      </w:r>
      <w:r w:rsidR="00460264" w:rsidRPr="00674960">
        <w:rPr>
          <w:color w:val="384575"/>
        </w:rPr>
        <w:t xml:space="preserve"> o </w:t>
      </w:r>
      <w:r w:rsidRPr="00674960">
        <w:rPr>
          <w:color w:val="384575"/>
        </w:rPr>
        <w:t>konkrétní úrovni ochrany mlčí, mohou se použít vnitrostátní normy, pokud jsou splněny dvě podmínky. Zaprvé, použití vnitrostátních norem nesmí ohrozit úroveň ochrany poskytovanou Listinou. Za druhé musí být zajištěna „přednost, jednota</w:t>
      </w:r>
      <w:r w:rsidR="00460264" w:rsidRPr="00674960">
        <w:rPr>
          <w:color w:val="384575"/>
        </w:rPr>
        <w:t xml:space="preserve"> a </w:t>
      </w:r>
      <w:r w:rsidRPr="00674960">
        <w:rPr>
          <w:color w:val="384575"/>
        </w:rPr>
        <w:t xml:space="preserve">účinnost“ unijního práva. </w:t>
      </w:r>
    </w:p>
    <w:p w14:paraId="7508DD07" w14:textId="77777777" w:rsidR="00771C0C" w:rsidRPr="007D56D6" w:rsidRDefault="00771C0C" w:rsidP="00771C0C">
      <w:pPr>
        <w:spacing w:line="276" w:lineRule="auto"/>
        <w:jc w:val="both"/>
        <w:rPr>
          <w:rFonts w:cstheme="minorHAnsi"/>
        </w:rPr>
      </w:pPr>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E2F3" w:themeFill="accent1" w:themeFillTint="33"/>
        <w:tblLook w:val="04A0" w:firstRow="1" w:lastRow="0" w:firstColumn="1" w:lastColumn="0" w:noHBand="0" w:noVBand="1"/>
      </w:tblPr>
      <w:tblGrid>
        <w:gridCol w:w="8613"/>
      </w:tblGrid>
      <w:tr w:rsidR="00771C0C" w:rsidRPr="00771C0C" w14:paraId="307467AC" w14:textId="77777777" w:rsidTr="0048041D">
        <w:tc>
          <w:tcPr>
            <w:tcW w:w="8613" w:type="dxa"/>
            <w:shd w:val="clear" w:color="auto" w:fill="D9E2F3" w:themeFill="accent1" w:themeFillTint="33"/>
          </w:tcPr>
          <w:p w14:paraId="70144C74" w14:textId="6897FC30" w:rsidR="00771C0C" w:rsidRPr="00830C22" w:rsidRDefault="00830C22" w:rsidP="00771C0C">
            <w:pPr>
              <w:spacing w:line="276" w:lineRule="auto"/>
              <w:jc w:val="right"/>
              <w:rPr>
                <w:rFonts w:asciiTheme="minorHAnsi" w:hAnsiTheme="minorHAnsi" w:cstheme="minorHAnsi"/>
                <w:b/>
                <w:color w:val="000000" w:themeColor="text1"/>
                <w:sz w:val="20"/>
                <w:szCs w:val="20"/>
              </w:rPr>
            </w:pPr>
            <w:hyperlink r:id="rId26" w:history="1">
              <w:r w:rsidR="00771C0C" w:rsidRPr="00830C22">
                <w:rPr>
                  <w:rStyle w:val="Hypertextovodkaz"/>
                  <w:rFonts w:asciiTheme="minorHAnsi" w:hAnsiTheme="minorHAnsi"/>
                  <w:b/>
                  <w:color w:val="000000" w:themeColor="text1"/>
                  <w:sz w:val="20"/>
                </w:rPr>
                <w:t xml:space="preserve">Rozsudek Soudního dvora (Velkého senátu) ze dne 26. února 2013, </w:t>
              </w:r>
              <w:proofErr w:type="spellStart"/>
              <w:r w:rsidR="00771C0C" w:rsidRPr="00830C22">
                <w:rPr>
                  <w:rStyle w:val="Hypertextovodkaz"/>
                  <w:rFonts w:asciiTheme="minorHAnsi" w:hAnsiTheme="minorHAnsi"/>
                  <w:b/>
                  <w:i/>
                  <w:iCs/>
                  <w:color w:val="000000" w:themeColor="text1"/>
                  <w:sz w:val="20"/>
                </w:rPr>
                <w:t>Stephano</w:t>
              </w:r>
              <w:proofErr w:type="spellEnd"/>
              <w:r w:rsidR="00771C0C" w:rsidRPr="00830C22">
                <w:rPr>
                  <w:rStyle w:val="Hypertextovodkaz"/>
                  <w:rFonts w:asciiTheme="minorHAnsi" w:hAnsiTheme="minorHAnsi"/>
                  <w:b/>
                  <w:i/>
                  <w:iCs/>
                  <w:color w:val="000000" w:themeColor="text1"/>
                  <w:sz w:val="20"/>
                </w:rPr>
                <w:t xml:space="preserve"> </w:t>
              </w:r>
              <w:proofErr w:type="spellStart"/>
              <w:r w:rsidR="00771C0C" w:rsidRPr="00830C22">
                <w:rPr>
                  <w:rStyle w:val="Hypertextovodkaz"/>
                  <w:rFonts w:asciiTheme="minorHAnsi" w:hAnsiTheme="minorHAnsi"/>
                  <w:b/>
                  <w:i/>
                  <w:iCs/>
                  <w:color w:val="000000" w:themeColor="text1"/>
                  <w:sz w:val="20"/>
                </w:rPr>
                <w:t>Melloni</w:t>
              </w:r>
              <w:proofErr w:type="spellEnd"/>
              <w:r w:rsidR="00771C0C" w:rsidRPr="00830C22">
                <w:rPr>
                  <w:rStyle w:val="Hypertextovodkaz"/>
                  <w:rFonts w:asciiTheme="minorHAnsi" w:hAnsiTheme="minorHAnsi"/>
                  <w:b/>
                  <w:i/>
                  <w:iCs/>
                  <w:color w:val="000000" w:themeColor="text1"/>
                  <w:sz w:val="20"/>
                </w:rPr>
                <w:t xml:space="preserve"> v. </w:t>
              </w:r>
              <w:proofErr w:type="spellStart"/>
              <w:r w:rsidR="00771C0C" w:rsidRPr="00830C22">
                <w:rPr>
                  <w:rStyle w:val="Hypertextovodkaz"/>
                  <w:rFonts w:asciiTheme="minorHAnsi" w:hAnsiTheme="minorHAnsi"/>
                  <w:b/>
                  <w:i/>
                  <w:iCs/>
                  <w:color w:val="000000" w:themeColor="text1"/>
                  <w:sz w:val="20"/>
                </w:rPr>
                <w:t>Ministerio</w:t>
              </w:r>
              <w:proofErr w:type="spellEnd"/>
              <w:r w:rsidR="00771C0C" w:rsidRPr="00830C22">
                <w:rPr>
                  <w:rStyle w:val="Hypertextovodkaz"/>
                  <w:rFonts w:asciiTheme="minorHAnsi" w:hAnsiTheme="minorHAnsi"/>
                  <w:b/>
                  <w:i/>
                  <w:iCs/>
                  <w:color w:val="000000" w:themeColor="text1"/>
                  <w:sz w:val="20"/>
                </w:rPr>
                <w:t xml:space="preserve"> </w:t>
              </w:r>
              <w:proofErr w:type="spellStart"/>
              <w:r w:rsidR="00771C0C" w:rsidRPr="00830C22">
                <w:rPr>
                  <w:rStyle w:val="Hypertextovodkaz"/>
                  <w:rFonts w:asciiTheme="minorHAnsi" w:hAnsiTheme="minorHAnsi"/>
                  <w:b/>
                  <w:i/>
                  <w:iCs/>
                  <w:color w:val="000000" w:themeColor="text1"/>
                  <w:sz w:val="20"/>
                </w:rPr>
                <w:t>Fiscal</w:t>
              </w:r>
              <w:proofErr w:type="spellEnd"/>
              <w:r w:rsidR="00771C0C" w:rsidRPr="00830C22">
                <w:rPr>
                  <w:rStyle w:val="Hypertextovodkaz"/>
                  <w:rFonts w:asciiTheme="minorHAnsi" w:hAnsiTheme="minorHAnsi"/>
                  <w:b/>
                  <w:color w:val="000000" w:themeColor="text1"/>
                  <w:sz w:val="20"/>
                </w:rPr>
                <w:t>, C-399/11, ECLI:EU:C:2013:107</w:t>
              </w:r>
            </w:hyperlink>
          </w:p>
          <w:p w14:paraId="55C5E22B" w14:textId="77777777" w:rsidR="00771C0C" w:rsidRPr="007D56D6" w:rsidRDefault="00771C0C" w:rsidP="00771C0C">
            <w:pPr>
              <w:spacing w:line="276" w:lineRule="auto"/>
              <w:jc w:val="both"/>
              <w:rPr>
                <w:rFonts w:asciiTheme="minorHAnsi" w:hAnsiTheme="minorHAnsi" w:cstheme="minorHAnsi"/>
                <w:sz w:val="20"/>
                <w:szCs w:val="20"/>
              </w:rPr>
            </w:pPr>
          </w:p>
          <w:p w14:paraId="23827858" w14:textId="77777777" w:rsidR="00771C0C" w:rsidRDefault="00771C0C" w:rsidP="00771C0C">
            <w:pPr>
              <w:spacing w:line="276" w:lineRule="auto"/>
              <w:jc w:val="both"/>
              <w:rPr>
                <w:rFonts w:asciiTheme="minorHAnsi" w:hAnsiTheme="minorHAnsi"/>
                <w:sz w:val="20"/>
              </w:rPr>
            </w:pPr>
            <w:r>
              <w:rPr>
                <w:rFonts w:asciiTheme="minorHAnsi" w:hAnsiTheme="minorHAnsi"/>
                <w:sz w:val="20"/>
              </w:rPr>
              <w:t>Tato žádost byla předložena</w:t>
            </w:r>
            <w:r w:rsidR="00460264">
              <w:rPr>
                <w:rFonts w:asciiTheme="minorHAnsi" w:hAnsiTheme="minorHAnsi"/>
                <w:sz w:val="20"/>
              </w:rPr>
              <w:t xml:space="preserve"> v </w:t>
            </w:r>
            <w:r>
              <w:rPr>
                <w:rFonts w:asciiTheme="minorHAnsi" w:hAnsiTheme="minorHAnsi"/>
                <w:sz w:val="20"/>
              </w:rPr>
              <w:t xml:space="preserve">rámci sporu mezi S. </w:t>
            </w:r>
            <w:proofErr w:type="spellStart"/>
            <w:r>
              <w:rPr>
                <w:rFonts w:asciiTheme="minorHAnsi" w:hAnsiTheme="minorHAnsi"/>
                <w:sz w:val="20"/>
              </w:rPr>
              <w:t>Mellonim</w:t>
            </w:r>
            <w:proofErr w:type="spellEnd"/>
            <w:r w:rsidR="00460264">
              <w:rPr>
                <w:rFonts w:asciiTheme="minorHAnsi" w:hAnsiTheme="minorHAnsi"/>
                <w:sz w:val="20"/>
              </w:rPr>
              <w:t xml:space="preserve"> a </w:t>
            </w:r>
            <w:proofErr w:type="spellStart"/>
            <w:r>
              <w:rPr>
                <w:rFonts w:asciiTheme="minorHAnsi" w:hAnsiTheme="minorHAnsi"/>
                <w:sz w:val="20"/>
              </w:rPr>
              <w:t>Ministerio</w:t>
            </w:r>
            <w:proofErr w:type="spellEnd"/>
            <w:r>
              <w:rPr>
                <w:rFonts w:asciiTheme="minorHAnsi" w:hAnsiTheme="minorHAnsi"/>
                <w:sz w:val="20"/>
              </w:rPr>
              <w:t xml:space="preserve"> </w:t>
            </w:r>
            <w:proofErr w:type="spellStart"/>
            <w:r>
              <w:rPr>
                <w:rFonts w:asciiTheme="minorHAnsi" w:hAnsiTheme="minorHAnsi"/>
                <w:sz w:val="20"/>
              </w:rPr>
              <w:t>Fiscal</w:t>
            </w:r>
            <w:proofErr w:type="spellEnd"/>
            <w:r>
              <w:rPr>
                <w:rFonts w:asciiTheme="minorHAnsi" w:hAnsiTheme="minorHAnsi"/>
                <w:sz w:val="20"/>
              </w:rPr>
              <w:t xml:space="preserve"> ve věci výkonu evropského zatýkacího rozkazu vydaného na S. </w:t>
            </w:r>
            <w:proofErr w:type="spellStart"/>
            <w:r>
              <w:rPr>
                <w:rFonts w:asciiTheme="minorHAnsi" w:hAnsiTheme="minorHAnsi"/>
                <w:sz w:val="20"/>
              </w:rPr>
              <w:t>Melloniho</w:t>
            </w:r>
            <w:proofErr w:type="spellEnd"/>
            <w:r>
              <w:rPr>
                <w:rFonts w:asciiTheme="minorHAnsi" w:hAnsiTheme="minorHAnsi"/>
                <w:sz w:val="20"/>
              </w:rPr>
              <w:t xml:space="preserve"> italskými orgány za účelem výkonu trestu odnětí svobody uloženého</w:t>
            </w:r>
            <w:r w:rsidR="00460264">
              <w:rPr>
                <w:rFonts w:asciiTheme="minorHAnsi" w:hAnsiTheme="minorHAnsi"/>
                <w:sz w:val="20"/>
              </w:rPr>
              <w:t xml:space="preserve"> v </w:t>
            </w:r>
            <w:r>
              <w:rPr>
                <w:rFonts w:asciiTheme="minorHAnsi" w:hAnsiTheme="minorHAnsi"/>
                <w:sz w:val="20"/>
              </w:rPr>
              <w:t>nepřítomnosti.</w:t>
            </w:r>
          </w:p>
          <w:p w14:paraId="5F4F90F3" w14:textId="77777777" w:rsidR="0048041D" w:rsidRPr="00771C0C" w:rsidRDefault="0048041D" w:rsidP="00771C0C">
            <w:pPr>
              <w:spacing w:line="276" w:lineRule="auto"/>
              <w:jc w:val="both"/>
              <w:rPr>
                <w:rFonts w:asciiTheme="minorHAnsi" w:hAnsiTheme="minorHAnsi" w:cstheme="minorHAnsi"/>
                <w:sz w:val="20"/>
                <w:szCs w:val="20"/>
              </w:rPr>
            </w:pPr>
          </w:p>
          <w:p w14:paraId="0A7890F9" w14:textId="77777777" w:rsidR="00771C0C" w:rsidRDefault="00771C0C" w:rsidP="00771C0C">
            <w:pPr>
              <w:spacing w:line="276" w:lineRule="auto"/>
              <w:jc w:val="both"/>
              <w:rPr>
                <w:rFonts w:asciiTheme="minorHAnsi" w:hAnsiTheme="minorHAnsi"/>
                <w:sz w:val="20"/>
              </w:rPr>
            </w:pPr>
            <w:r>
              <w:rPr>
                <w:rFonts w:asciiTheme="minorHAnsi" w:hAnsiTheme="minorHAnsi"/>
                <w:sz w:val="20"/>
              </w:rPr>
              <w:t>Otázkou bylo, zda</w:t>
            </w:r>
            <w:r w:rsidR="00460264">
              <w:rPr>
                <w:rFonts w:asciiTheme="minorHAnsi" w:hAnsiTheme="minorHAnsi"/>
                <w:sz w:val="20"/>
              </w:rPr>
              <w:t xml:space="preserve"> v </w:t>
            </w:r>
            <w:r>
              <w:rPr>
                <w:rFonts w:asciiTheme="minorHAnsi" w:hAnsiTheme="minorHAnsi"/>
                <w:sz w:val="20"/>
              </w:rPr>
              <w:t>případě, že se ukáže, že vnitrostátní ústavní právo více chrání základní práva než právo Evropské unie, bude stát oprávněn nevykonat evropský zatýkací rozkaz,</w:t>
            </w:r>
            <w:r w:rsidR="00460264">
              <w:rPr>
                <w:rFonts w:asciiTheme="minorHAnsi" w:hAnsiTheme="minorHAnsi"/>
                <w:sz w:val="20"/>
              </w:rPr>
              <w:t xml:space="preserve"> i </w:t>
            </w:r>
            <w:r>
              <w:rPr>
                <w:rFonts w:asciiTheme="minorHAnsi" w:hAnsiTheme="minorHAnsi"/>
                <w:sz w:val="20"/>
              </w:rPr>
              <w:t>když je předání</w:t>
            </w:r>
            <w:r w:rsidR="00460264">
              <w:rPr>
                <w:rFonts w:asciiTheme="minorHAnsi" w:hAnsiTheme="minorHAnsi"/>
                <w:sz w:val="20"/>
              </w:rPr>
              <w:t xml:space="preserve"> v </w:t>
            </w:r>
            <w:r>
              <w:rPr>
                <w:rFonts w:asciiTheme="minorHAnsi" w:hAnsiTheme="minorHAnsi"/>
                <w:sz w:val="20"/>
              </w:rPr>
              <w:t>souladu</w:t>
            </w:r>
            <w:r w:rsidR="00460264">
              <w:rPr>
                <w:rFonts w:asciiTheme="minorHAnsi" w:hAnsiTheme="minorHAnsi"/>
                <w:sz w:val="20"/>
              </w:rPr>
              <w:t xml:space="preserve"> s </w:t>
            </w:r>
            <w:r>
              <w:rPr>
                <w:rFonts w:asciiTheme="minorHAnsi" w:hAnsiTheme="minorHAnsi"/>
                <w:sz w:val="20"/>
              </w:rPr>
              <w:t>normami Evropské unie. Soudní dvůr tuto možnost odmítl, neboť by byla ve zjevném rozporu se zásadou přednosti práva Evropské unie.</w:t>
            </w:r>
          </w:p>
          <w:p w14:paraId="4E5E5A00" w14:textId="77777777" w:rsidR="0048041D" w:rsidRPr="00771C0C" w:rsidRDefault="0048041D" w:rsidP="00771C0C">
            <w:pPr>
              <w:spacing w:line="276" w:lineRule="auto"/>
              <w:jc w:val="both"/>
              <w:rPr>
                <w:rFonts w:asciiTheme="minorHAnsi" w:hAnsiTheme="minorHAnsi" w:cstheme="minorHAnsi"/>
                <w:sz w:val="20"/>
                <w:szCs w:val="20"/>
              </w:rPr>
            </w:pPr>
          </w:p>
          <w:p w14:paraId="14AF9F06" w14:textId="77777777" w:rsidR="00771C0C" w:rsidRPr="00771C0C" w:rsidRDefault="00771C0C" w:rsidP="00771C0C">
            <w:pPr>
              <w:spacing w:line="276" w:lineRule="auto"/>
              <w:jc w:val="both"/>
              <w:rPr>
                <w:rFonts w:asciiTheme="minorHAnsi" w:hAnsiTheme="minorHAnsi" w:cstheme="minorHAnsi"/>
                <w:sz w:val="20"/>
                <w:szCs w:val="20"/>
              </w:rPr>
            </w:pPr>
            <w:r>
              <w:rPr>
                <w:rFonts w:asciiTheme="minorHAnsi" w:hAnsiTheme="minorHAnsi"/>
                <w:sz w:val="20"/>
              </w:rPr>
              <w:t>Je sice pravda, že článek 53 Listiny potvrzuje, že pokud akt unijního práva vyžaduje přijetí vnitrostátních prováděcích opatření, vnitrostátní orgány</w:t>
            </w:r>
            <w:r w:rsidR="00460264">
              <w:rPr>
                <w:rFonts w:asciiTheme="minorHAnsi" w:hAnsiTheme="minorHAnsi"/>
                <w:sz w:val="20"/>
              </w:rPr>
              <w:t xml:space="preserve"> a </w:t>
            </w:r>
            <w:r>
              <w:rPr>
                <w:rFonts w:asciiTheme="minorHAnsi" w:hAnsiTheme="minorHAnsi"/>
                <w:sz w:val="20"/>
              </w:rPr>
              <w:t>soudy mohou uplatnit vnitrostátní standardy ochrany základních práv za předpokladu, že toto uplatnění neohrozí úroveň ochrany stanovenou</w:t>
            </w:r>
            <w:r w:rsidR="00460264">
              <w:rPr>
                <w:rFonts w:asciiTheme="minorHAnsi" w:hAnsiTheme="minorHAnsi"/>
                <w:sz w:val="20"/>
              </w:rPr>
              <w:t xml:space="preserve"> v </w:t>
            </w:r>
            <w:r>
              <w:rPr>
                <w:rFonts w:asciiTheme="minorHAnsi" w:hAnsiTheme="minorHAnsi"/>
                <w:sz w:val="20"/>
              </w:rPr>
              <w:t>Listině, jak ji vykládá Soudní dvůr, ani přednost, jednotnost</w:t>
            </w:r>
            <w:r w:rsidR="00460264">
              <w:rPr>
                <w:rFonts w:asciiTheme="minorHAnsi" w:hAnsiTheme="minorHAnsi"/>
                <w:sz w:val="20"/>
              </w:rPr>
              <w:t xml:space="preserve"> a </w:t>
            </w:r>
            <w:r>
              <w:rPr>
                <w:rFonts w:asciiTheme="minorHAnsi" w:hAnsiTheme="minorHAnsi"/>
                <w:sz w:val="20"/>
              </w:rPr>
              <w:t>účinnost unijního práva.</w:t>
            </w:r>
          </w:p>
        </w:tc>
      </w:tr>
    </w:tbl>
    <w:p w14:paraId="7CB9F7B0" w14:textId="77777777" w:rsidR="00771C0C" w:rsidRPr="007D56D6" w:rsidRDefault="00771C0C" w:rsidP="00771C0C">
      <w:pPr>
        <w:spacing w:line="276" w:lineRule="auto"/>
        <w:jc w:val="both"/>
        <w:rPr>
          <w:rFonts w:cstheme="minorHAnsi"/>
        </w:rPr>
      </w:pPr>
    </w:p>
    <w:p w14:paraId="056022B6" w14:textId="77777777" w:rsidR="00771C0C" w:rsidRPr="00674960" w:rsidRDefault="00747C7E" w:rsidP="00EC2273">
      <w:pPr>
        <w:spacing w:line="276" w:lineRule="auto"/>
        <w:jc w:val="both"/>
        <w:rPr>
          <w:rFonts w:cstheme="minorHAnsi"/>
          <w:color w:val="384575"/>
        </w:rPr>
      </w:pPr>
      <w:r w:rsidRPr="00674960">
        <w:rPr>
          <w:color w:val="384575"/>
        </w:rPr>
        <w:t>Práva zaručená Listinou podléhají zásadám legality</w:t>
      </w:r>
      <w:r w:rsidR="00460264" w:rsidRPr="00674960">
        <w:rPr>
          <w:color w:val="384575"/>
        </w:rPr>
        <w:t xml:space="preserve"> a </w:t>
      </w:r>
      <w:r w:rsidRPr="00674960">
        <w:rPr>
          <w:color w:val="384575"/>
        </w:rPr>
        <w:t>proporcionality. Tato práva lze tedy omezit pouze zákonem</w:t>
      </w:r>
      <w:r w:rsidR="00460264" w:rsidRPr="00674960">
        <w:rPr>
          <w:color w:val="384575"/>
        </w:rPr>
        <w:t xml:space="preserve"> a </w:t>
      </w:r>
      <w:r w:rsidRPr="00674960">
        <w:rPr>
          <w:color w:val="384575"/>
        </w:rPr>
        <w:t>takové omezení musí respektovat podstatu omezovaného práva. Zásada proporcionality ukládá další podmínku: práva zakotvená</w:t>
      </w:r>
      <w:r w:rsidR="00460264" w:rsidRPr="00674960">
        <w:rPr>
          <w:color w:val="384575"/>
        </w:rPr>
        <w:t xml:space="preserve"> v </w:t>
      </w:r>
      <w:r w:rsidRPr="00674960">
        <w:rPr>
          <w:color w:val="384575"/>
        </w:rPr>
        <w:t>Listině lze omezit pouze tehdy, pokud jsou tato omezení nezbytná</w:t>
      </w:r>
      <w:r w:rsidR="00460264" w:rsidRPr="00674960">
        <w:rPr>
          <w:color w:val="384575"/>
        </w:rPr>
        <w:t xml:space="preserve"> a </w:t>
      </w:r>
      <w:r w:rsidRPr="00674960">
        <w:rPr>
          <w:color w:val="384575"/>
        </w:rPr>
        <w:t>pokud odpovídají cílům obecného zájmu nebo potřebě chránit práva</w:t>
      </w:r>
      <w:r w:rsidR="00460264" w:rsidRPr="00674960">
        <w:rPr>
          <w:color w:val="384575"/>
        </w:rPr>
        <w:t xml:space="preserve"> a </w:t>
      </w:r>
      <w:r w:rsidRPr="00674960">
        <w:rPr>
          <w:color w:val="384575"/>
        </w:rPr>
        <w:t xml:space="preserve">svobody druhých. </w:t>
      </w:r>
    </w:p>
    <w:p w14:paraId="542058B0" w14:textId="77777777" w:rsidR="00771C0C" w:rsidRPr="007D56D6" w:rsidRDefault="00771C0C" w:rsidP="00EC2273">
      <w:pPr>
        <w:spacing w:line="276" w:lineRule="auto"/>
        <w:jc w:val="both"/>
        <w:rPr>
          <w:rFonts w:cstheme="minorHAnsi"/>
        </w:rPr>
      </w:pPr>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E2F3" w:themeFill="accent1" w:themeFillTint="33"/>
        <w:tblLook w:val="04A0" w:firstRow="1" w:lastRow="0" w:firstColumn="1" w:lastColumn="0" w:noHBand="0" w:noVBand="1"/>
      </w:tblPr>
      <w:tblGrid>
        <w:gridCol w:w="8613"/>
      </w:tblGrid>
      <w:tr w:rsidR="00771C0C" w14:paraId="69AE0CCB" w14:textId="77777777" w:rsidTr="0048041D">
        <w:tc>
          <w:tcPr>
            <w:tcW w:w="8613" w:type="dxa"/>
            <w:shd w:val="clear" w:color="auto" w:fill="D9E2F3" w:themeFill="accent1" w:themeFillTint="33"/>
          </w:tcPr>
          <w:p w14:paraId="77F73718" w14:textId="662B0175" w:rsidR="00ED6B1D" w:rsidRPr="00830C22" w:rsidRDefault="00830C22" w:rsidP="00ED6B1D">
            <w:pPr>
              <w:spacing w:line="276" w:lineRule="auto"/>
              <w:jc w:val="right"/>
              <w:rPr>
                <w:rFonts w:asciiTheme="minorHAnsi" w:hAnsiTheme="minorHAnsi" w:cstheme="minorHAnsi"/>
                <w:b/>
                <w:color w:val="000000" w:themeColor="text1"/>
                <w:sz w:val="20"/>
                <w:szCs w:val="20"/>
              </w:rPr>
            </w:pPr>
            <w:hyperlink r:id="rId27" w:history="1">
              <w:r w:rsidR="00771C0C" w:rsidRPr="00830C22">
                <w:rPr>
                  <w:rStyle w:val="Hypertextovodkaz"/>
                  <w:rFonts w:asciiTheme="minorHAnsi" w:hAnsiTheme="minorHAnsi"/>
                  <w:b/>
                  <w:color w:val="000000" w:themeColor="text1"/>
                  <w:sz w:val="20"/>
                </w:rPr>
                <w:t xml:space="preserve">Rozsudek Soudního dvora (Velkého senátu) ze dne 21. října 2022, </w:t>
              </w:r>
              <w:proofErr w:type="spellStart"/>
              <w:r w:rsidR="00771C0C" w:rsidRPr="00830C22">
                <w:rPr>
                  <w:rStyle w:val="Hypertextovodkaz"/>
                  <w:rFonts w:asciiTheme="minorHAnsi" w:hAnsiTheme="minorHAnsi"/>
                  <w:b/>
                  <w:i/>
                  <w:iCs/>
                  <w:color w:val="000000" w:themeColor="text1"/>
                  <w:sz w:val="20"/>
                </w:rPr>
                <w:t>Bundesrepublik</w:t>
              </w:r>
              <w:proofErr w:type="spellEnd"/>
              <w:r w:rsidR="00771C0C" w:rsidRPr="00830C22">
                <w:rPr>
                  <w:rStyle w:val="Hypertextovodkaz"/>
                  <w:rFonts w:asciiTheme="minorHAnsi" w:hAnsiTheme="minorHAnsi"/>
                  <w:b/>
                  <w:i/>
                  <w:iCs/>
                  <w:color w:val="000000" w:themeColor="text1"/>
                  <w:sz w:val="20"/>
                </w:rPr>
                <w:t xml:space="preserve"> </w:t>
              </w:r>
              <w:proofErr w:type="spellStart"/>
              <w:r w:rsidR="00771C0C" w:rsidRPr="00830C22">
                <w:rPr>
                  <w:rStyle w:val="Hypertextovodkaz"/>
                  <w:rFonts w:asciiTheme="minorHAnsi" w:hAnsiTheme="minorHAnsi"/>
                  <w:b/>
                  <w:i/>
                  <w:iCs/>
                  <w:color w:val="000000" w:themeColor="text1"/>
                  <w:sz w:val="20"/>
                </w:rPr>
                <w:t>Deutschland</w:t>
              </w:r>
              <w:proofErr w:type="spellEnd"/>
              <w:r w:rsidR="00771C0C" w:rsidRPr="00830C22">
                <w:rPr>
                  <w:rStyle w:val="Hypertextovodkaz"/>
                  <w:rFonts w:asciiTheme="minorHAnsi" w:hAnsiTheme="minorHAnsi"/>
                  <w:b/>
                  <w:i/>
                  <w:iCs/>
                  <w:color w:val="000000" w:themeColor="text1"/>
                  <w:sz w:val="20"/>
                </w:rPr>
                <w:t xml:space="preserve"> v. </w:t>
              </w:r>
              <w:proofErr w:type="spellStart"/>
              <w:r w:rsidR="00771C0C" w:rsidRPr="00830C22">
                <w:rPr>
                  <w:rStyle w:val="Hypertextovodkaz"/>
                  <w:rFonts w:asciiTheme="minorHAnsi" w:hAnsiTheme="minorHAnsi"/>
                  <w:b/>
                  <w:i/>
                  <w:iCs/>
                  <w:color w:val="000000" w:themeColor="text1"/>
                  <w:sz w:val="20"/>
                </w:rPr>
                <w:t>SpaceNet</w:t>
              </w:r>
              <w:proofErr w:type="spellEnd"/>
              <w:r w:rsidR="00771C0C" w:rsidRPr="00830C22">
                <w:rPr>
                  <w:rStyle w:val="Hypertextovodkaz"/>
                  <w:rFonts w:asciiTheme="minorHAnsi" w:hAnsiTheme="minorHAnsi"/>
                  <w:b/>
                  <w:i/>
                  <w:iCs/>
                  <w:color w:val="000000" w:themeColor="text1"/>
                  <w:sz w:val="20"/>
                </w:rPr>
                <w:t xml:space="preserve"> AG, Telekom </w:t>
              </w:r>
              <w:proofErr w:type="spellStart"/>
              <w:r w:rsidR="00771C0C" w:rsidRPr="00830C22">
                <w:rPr>
                  <w:rStyle w:val="Hypertextovodkaz"/>
                  <w:rFonts w:asciiTheme="minorHAnsi" w:hAnsiTheme="minorHAnsi"/>
                  <w:b/>
                  <w:i/>
                  <w:iCs/>
                  <w:color w:val="000000" w:themeColor="text1"/>
                  <w:sz w:val="20"/>
                </w:rPr>
                <w:t>Deutschland</w:t>
              </w:r>
              <w:proofErr w:type="spellEnd"/>
              <w:r w:rsidR="00771C0C" w:rsidRPr="00830C22">
                <w:rPr>
                  <w:rStyle w:val="Hypertextovodkaz"/>
                  <w:rFonts w:asciiTheme="minorHAnsi" w:hAnsiTheme="minorHAnsi"/>
                  <w:b/>
                  <w:i/>
                  <w:iCs/>
                  <w:color w:val="000000" w:themeColor="text1"/>
                  <w:sz w:val="20"/>
                </w:rPr>
                <w:t xml:space="preserve"> </w:t>
              </w:r>
              <w:proofErr w:type="spellStart"/>
              <w:r w:rsidR="00771C0C" w:rsidRPr="00830C22">
                <w:rPr>
                  <w:rStyle w:val="Hypertextovodkaz"/>
                  <w:rFonts w:asciiTheme="minorHAnsi" w:hAnsiTheme="minorHAnsi"/>
                  <w:b/>
                  <w:i/>
                  <w:iCs/>
                  <w:color w:val="000000" w:themeColor="text1"/>
                  <w:sz w:val="20"/>
                </w:rPr>
                <w:t>GmbH</w:t>
              </w:r>
              <w:proofErr w:type="spellEnd"/>
              <w:r w:rsidR="00771C0C" w:rsidRPr="00830C22">
                <w:rPr>
                  <w:rStyle w:val="Hypertextovodkaz"/>
                  <w:rFonts w:asciiTheme="minorHAnsi" w:hAnsiTheme="minorHAnsi"/>
                  <w:b/>
                  <w:color w:val="000000" w:themeColor="text1"/>
                  <w:sz w:val="20"/>
                </w:rPr>
                <w:t>, C-793/19</w:t>
              </w:r>
              <w:r w:rsidR="00460264" w:rsidRPr="00830C22">
                <w:rPr>
                  <w:rStyle w:val="Hypertextovodkaz"/>
                  <w:rFonts w:asciiTheme="minorHAnsi" w:hAnsiTheme="minorHAnsi"/>
                  <w:b/>
                  <w:color w:val="000000" w:themeColor="text1"/>
                  <w:sz w:val="20"/>
                </w:rPr>
                <w:t xml:space="preserve"> a </w:t>
              </w:r>
              <w:r w:rsidR="00771C0C" w:rsidRPr="00830C22">
                <w:rPr>
                  <w:rStyle w:val="Hypertextovodkaz"/>
                  <w:rFonts w:asciiTheme="minorHAnsi" w:hAnsiTheme="minorHAnsi"/>
                  <w:b/>
                  <w:color w:val="000000" w:themeColor="text1"/>
                  <w:sz w:val="20"/>
                </w:rPr>
                <w:t>C-749/19, ECLI:EU: C:2022:702</w:t>
              </w:r>
            </w:hyperlink>
          </w:p>
          <w:p w14:paraId="620987C8" w14:textId="77777777" w:rsidR="00771C0C" w:rsidRPr="007D56D6" w:rsidRDefault="00771C0C" w:rsidP="000A3B66">
            <w:pPr>
              <w:spacing w:line="276" w:lineRule="auto"/>
              <w:jc w:val="right"/>
              <w:rPr>
                <w:rFonts w:asciiTheme="minorHAnsi" w:hAnsiTheme="minorHAnsi" w:cstheme="minorHAnsi"/>
                <w:sz w:val="20"/>
                <w:szCs w:val="20"/>
              </w:rPr>
            </w:pPr>
          </w:p>
          <w:p w14:paraId="22AAEB6F" w14:textId="77777777" w:rsidR="00771C0C" w:rsidRPr="00F37B27" w:rsidRDefault="00771C0C" w:rsidP="00771C0C">
            <w:pPr>
              <w:spacing w:line="276" w:lineRule="auto"/>
              <w:jc w:val="both"/>
              <w:rPr>
                <w:rFonts w:asciiTheme="minorHAnsi" w:hAnsiTheme="minorHAnsi" w:cstheme="minorHAnsi"/>
                <w:sz w:val="20"/>
                <w:szCs w:val="20"/>
              </w:rPr>
            </w:pPr>
            <w:r>
              <w:rPr>
                <w:rFonts w:asciiTheme="minorHAnsi" w:hAnsiTheme="minorHAnsi"/>
                <w:sz w:val="20"/>
              </w:rPr>
              <w:t>Věc se týká řízení</w:t>
            </w:r>
            <w:r w:rsidR="00460264">
              <w:rPr>
                <w:rFonts w:asciiTheme="minorHAnsi" w:hAnsiTheme="minorHAnsi"/>
                <w:sz w:val="20"/>
              </w:rPr>
              <w:t xml:space="preserve"> o </w:t>
            </w:r>
            <w:r>
              <w:rPr>
                <w:rFonts w:asciiTheme="minorHAnsi" w:hAnsiTheme="minorHAnsi"/>
                <w:sz w:val="20"/>
              </w:rPr>
              <w:t>povinnosti uložené společnostem poskytujícím veřejně dostupné služby elektronické komunikace uchovávat provozní</w:t>
            </w:r>
            <w:r w:rsidR="00460264">
              <w:rPr>
                <w:rFonts w:asciiTheme="minorHAnsi" w:hAnsiTheme="minorHAnsi"/>
                <w:sz w:val="20"/>
              </w:rPr>
              <w:t xml:space="preserve"> a </w:t>
            </w:r>
            <w:r>
              <w:rPr>
                <w:rFonts w:asciiTheme="minorHAnsi" w:hAnsiTheme="minorHAnsi"/>
                <w:sz w:val="20"/>
              </w:rPr>
              <w:t xml:space="preserve">lokalizační údaje týkající se telekomunikací jejich </w:t>
            </w:r>
            <w:r>
              <w:rPr>
                <w:rFonts w:asciiTheme="minorHAnsi" w:hAnsiTheme="minorHAnsi"/>
                <w:sz w:val="20"/>
              </w:rPr>
              <w:lastRenderedPageBreak/>
              <w:t>zákazníků na základě vnitrostátního legislativního opatření, které pro účely stíhání závažných trestných činů nebo předcházení konkrétním rizikům pro národní bezpečnost.</w:t>
            </w:r>
          </w:p>
          <w:p w14:paraId="1216CAC2" w14:textId="77777777" w:rsidR="00771C0C" w:rsidRPr="007D56D6" w:rsidRDefault="00771C0C" w:rsidP="00771C0C">
            <w:pPr>
              <w:spacing w:line="276" w:lineRule="auto"/>
              <w:jc w:val="both"/>
              <w:rPr>
                <w:rFonts w:asciiTheme="minorHAnsi" w:hAnsiTheme="minorHAnsi" w:cstheme="minorHAnsi"/>
                <w:sz w:val="20"/>
                <w:szCs w:val="20"/>
              </w:rPr>
            </w:pPr>
          </w:p>
          <w:p w14:paraId="0F6D2841" w14:textId="77777777" w:rsidR="00771C0C" w:rsidRDefault="00771C0C" w:rsidP="00771C0C">
            <w:pPr>
              <w:spacing w:line="276" w:lineRule="auto"/>
              <w:jc w:val="both"/>
              <w:rPr>
                <w:rFonts w:cstheme="minorHAnsi"/>
              </w:rPr>
            </w:pPr>
            <w:r>
              <w:rPr>
                <w:rFonts w:asciiTheme="minorHAnsi" w:hAnsiTheme="minorHAnsi"/>
                <w:sz w:val="20"/>
              </w:rPr>
              <w:t>Práva zakotvená</w:t>
            </w:r>
            <w:r w:rsidR="00460264">
              <w:rPr>
                <w:rFonts w:asciiTheme="minorHAnsi" w:hAnsiTheme="minorHAnsi"/>
                <w:sz w:val="20"/>
              </w:rPr>
              <w:t xml:space="preserve"> v </w:t>
            </w:r>
            <w:r>
              <w:rPr>
                <w:rFonts w:asciiTheme="minorHAnsi" w:hAnsiTheme="minorHAnsi"/>
                <w:sz w:val="20"/>
              </w:rPr>
              <w:t>článcích 7, 8</w:t>
            </w:r>
            <w:r w:rsidR="00460264">
              <w:rPr>
                <w:rFonts w:asciiTheme="minorHAnsi" w:hAnsiTheme="minorHAnsi"/>
                <w:sz w:val="20"/>
              </w:rPr>
              <w:t xml:space="preserve"> a </w:t>
            </w:r>
            <w:r>
              <w:rPr>
                <w:rFonts w:asciiTheme="minorHAnsi" w:hAnsiTheme="minorHAnsi"/>
                <w:sz w:val="20"/>
              </w:rPr>
              <w:t>11 Listiny se neprojevují jako absolutní výsady, ale musí být nahlížena ve vztahu</w:t>
            </w:r>
            <w:r w:rsidR="00460264">
              <w:rPr>
                <w:rFonts w:asciiTheme="minorHAnsi" w:hAnsiTheme="minorHAnsi"/>
                <w:sz w:val="20"/>
              </w:rPr>
              <w:t xml:space="preserve"> k </w:t>
            </w:r>
            <w:r>
              <w:rPr>
                <w:rFonts w:asciiTheme="minorHAnsi" w:hAnsiTheme="minorHAnsi"/>
                <w:sz w:val="20"/>
              </w:rPr>
              <w:t>jejich společenské funkci. Jak totiž plyne</w:t>
            </w:r>
            <w:r w:rsidR="00460264">
              <w:rPr>
                <w:rFonts w:asciiTheme="minorHAnsi" w:hAnsiTheme="minorHAnsi"/>
                <w:sz w:val="20"/>
              </w:rPr>
              <w:t xml:space="preserve"> z čl. </w:t>
            </w:r>
            <w:r>
              <w:rPr>
                <w:rFonts w:asciiTheme="minorHAnsi" w:hAnsiTheme="minorHAnsi"/>
                <w:sz w:val="20"/>
              </w:rPr>
              <w:t>52 odst. 1 Listiny, Listina připouští omezení výkonu takových práv za předpokladu, že jsou tato omezení stanovena zákonem, respektují podstatu těchto práv</w:t>
            </w:r>
            <w:r w:rsidR="00460264">
              <w:rPr>
                <w:rFonts w:asciiTheme="minorHAnsi" w:hAnsiTheme="minorHAnsi"/>
                <w:sz w:val="20"/>
              </w:rPr>
              <w:t xml:space="preserve"> a </w:t>
            </w:r>
            <w:r>
              <w:rPr>
                <w:rFonts w:asciiTheme="minorHAnsi" w:hAnsiTheme="minorHAnsi"/>
                <w:sz w:val="20"/>
              </w:rPr>
              <w:t>při dodržení zásady proporcionality jsou nezbytná</w:t>
            </w:r>
            <w:r w:rsidR="00460264">
              <w:rPr>
                <w:rFonts w:asciiTheme="minorHAnsi" w:hAnsiTheme="minorHAnsi"/>
                <w:sz w:val="20"/>
              </w:rPr>
              <w:t xml:space="preserve"> a </w:t>
            </w:r>
            <w:r>
              <w:rPr>
                <w:rFonts w:asciiTheme="minorHAnsi" w:hAnsiTheme="minorHAnsi"/>
                <w:sz w:val="20"/>
              </w:rPr>
              <w:t>skutečně odpovídají cílům obecného zájmu, které uznává Unie, nebo potřebě ochrany práv</w:t>
            </w:r>
            <w:r w:rsidR="00460264">
              <w:rPr>
                <w:rFonts w:asciiTheme="minorHAnsi" w:hAnsiTheme="minorHAnsi"/>
                <w:sz w:val="20"/>
              </w:rPr>
              <w:t xml:space="preserve"> a </w:t>
            </w:r>
            <w:r>
              <w:rPr>
                <w:rFonts w:asciiTheme="minorHAnsi" w:hAnsiTheme="minorHAnsi"/>
                <w:sz w:val="20"/>
              </w:rPr>
              <w:t>svobod druhého. </w:t>
            </w:r>
          </w:p>
        </w:tc>
      </w:tr>
    </w:tbl>
    <w:p w14:paraId="552DB703" w14:textId="77777777" w:rsidR="00771C0C" w:rsidRPr="007D56D6" w:rsidRDefault="00771C0C" w:rsidP="00EC2273">
      <w:pPr>
        <w:spacing w:line="276" w:lineRule="auto"/>
        <w:jc w:val="both"/>
        <w:rPr>
          <w:rFonts w:cstheme="minorHAnsi"/>
        </w:rPr>
      </w:pPr>
    </w:p>
    <w:p w14:paraId="55D2E42D" w14:textId="77777777" w:rsidR="00EC2273" w:rsidRPr="00674960" w:rsidRDefault="00747C7E" w:rsidP="00EC2273">
      <w:pPr>
        <w:spacing w:line="276" w:lineRule="auto"/>
        <w:jc w:val="both"/>
        <w:rPr>
          <w:rFonts w:cstheme="minorHAnsi"/>
          <w:color w:val="384575"/>
        </w:rPr>
      </w:pPr>
      <w:r w:rsidRPr="00674960">
        <w:rPr>
          <w:color w:val="384575"/>
        </w:rPr>
        <w:t xml:space="preserve">Účelem </w:t>
      </w:r>
      <w:r w:rsidR="00460264" w:rsidRPr="00674960">
        <w:rPr>
          <w:color w:val="384575"/>
        </w:rPr>
        <w:t>čl. </w:t>
      </w:r>
      <w:r w:rsidRPr="00674960">
        <w:rPr>
          <w:color w:val="384575"/>
        </w:rPr>
        <w:t>52 odst. 1 není narušit podstatu práv, jejich základ. Judikatura Soudního dvora se však značně liší. Stejná kritéria jsou uplatňována</w:t>
      </w:r>
      <w:r w:rsidR="00460264" w:rsidRPr="00674960">
        <w:rPr>
          <w:color w:val="384575"/>
        </w:rPr>
        <w:t xml:space="preserve"> i </w:t>
      </w:r>
      <w:r w:rsidRPr="00674960">
        <w:rPr>
          <w:color w:val="384575"/>
        </w:rPr>
        <w:t>v judikatuře Evropského soudu pro lidská práva.</w:t>
      </w:r>
    </w:p>
    <w:p w14:paraId="16887661" w14:textId="77777777" w:rsidR="00747C7E" w:rsidRPr="007D56D6" w:rsidRDefault="00747C7E" w:rsidP="00EC2273">
      <w:pPr>
        <w:spacing w:line="276" w:lineRule="auto"/>
        <w:jc w:val="both"/>
        <w:rPr>
          <w:rFonts w:cstheme="minorHAnsi"/>
        </w:rPr>
      </w:pPr>
    </w:p>
    <w:tbl>
      <w:tblPr>
        <w:tblStyle w:val="Mkatabulky"/>
        <w:tblW w:w="0" w:type="auto"/>
        <w:tblLook w:val="04A0" w:firstRow="1" w:lastRow="0" w:firstColumn="1" w:lastColumn="0" w:noHBand="0" w:noVBand="1"/>
      </w:tblPr>
      <w:tblGrid>
        <w:gridCol w:w="8613"/>
      </w:tblGrid>
      <w:tr w:rsidR="00747C7E" w14:paraId="7913633A" w14:textId="77777777" w:rsidTr="0048041D">
        <w:tc>
          <w:tcPr>
            <w:tcW w:w="8613" w:type="dxa"/>
            <w:tcBorders>
              <w:top w:val="nil"/>
              <w:left w:val="nil"/>
              <w:bottom w:val="nil"/>
              <w:right w:val="nil"/>
            </w:tcBorders>
            <w:shd w:val="clear" w:color="auto" w:fill="D9E2F3" w:themeFill="accent1" w:themeFillTint="33"/>
          </w:tcPr>
          <w:p w14:paraId="0C322D86" w14:textId="527E4F7B" w:rsidR="00747C7E" w:rsidRPr="00F3784B" w:rsidRDefault="00F3784B" w:rsidP="00ED6B1D">
            <w:pPr>
              <w:spacing w:line="276" w:lineRule="auto"/>
              <w:jc w:val="right"/>
              <w:rPr>
                <w:rFonts w:asciiTheme="minorHAnsi" w:hAnsiTheme="minorHAnsi"/>
                <w:b/>
                <w:color w:val="000000" w:themeColor="text1"/>
                <w:sz w:val="20"/>
                <w:szCs w:val="20"/>
              </w:rPr>
            </w:pPr>
            <w:hyperlink r:id="rId28" w:history="1">
              <w:r w:rsidR="00747C7E" w:rsidRPr="00F3784B">
                <w:rPr>
                  <w:rStyle w:val="Hypertextovodkaz"/>
                  <w:rFonts w:asciiTheme="minorHAnsi" w:hAnsiTheme="minorHAnsi"/>
                  <w:b/>
                  <w:color w:val="000000" w:themeColor="text1"/>
                  <w:sz w:val="20"/>
                </w:rPr>
                <w:t xml:space="preserve">Rozsudek Soudního dvora (Velkého senátu) ze dne 9. listopadu 2010, </w:t>
              </w:r>
              <w:r w:rsidR="00747C7E" w:rsidRPr="00F3784B">
                <w:rPr>
                  <w:rStyle w:val="Hypertextovodkaz"/>
                  <w:rFonts w:asciiTheme="minorHAnsi" w:hAnsiTheme="minorHAnsi"/>
                  <w:b/>
                  <w:i/>
                  <w:iCs/>
                  <w:color w:val="000000" w:themeColor="text1"/>
                  <w:sz w:val="20"/>
                </w:rPr>
                <w:t xml:space="preserve">Volker </w:t>
              </w:r>
              <w:proofErr w:type="spellStart"/>
              <w:r w:rsidR="00747C7E" w:rsidRPr="00F3784B">
                <w:rPr>
                  <w:rStyle w:val="Hypertextovodkaz"/>
                  <w:rFonts w:asciiTheme="minorHAnsi" w:hAnsiTheme="minorHAnsi"/>
                  <w:b/>
                  <w:i/>
                  <w:iCs/>
                  <w:color w:val="000000" w:themeColor="text1"/>
                  <w:sz w:val="20"/>
                </w:rPr>
                <w:t>und</w:t>
              </w:r>
              <w:proofErr w:type="spellEnd"/>
              <w:r w:rsidR="00747C7E" w:rsidRPr="00F3784B">
                <w:rPr>
                  <w:rStyle w:val="Hypertextovodkaz"/>
                  <w:rFonts w:asciiTheme="minorHAnsi" w:hAnsiTheme="minorHAnsi"/>
                  <w:b/>
                  <w:i/>
                  <w:iCs/>
                  <w:color w:val="000000" w:themeColor="text1"/>
                  <w:sz w:val="20"/>
                </w:rPr>
                <w:t xml:space="preserve"> Markus </w:t>
              </w:r>
              <w:proofErr w:type="spellStart"/>
              <w:r w:rsidR="00747C7E" w:rsidRPr="00F3784B">
                <w:rPr>
                  <w:rStyle w:val="Hypertextovodkaz"/>
                  <w:rFonts w:asciiTheme="minorHAnsi" w:hAnsiTheme="minorHAnsi"/>
                  <w:b/>
                  <w:i/>
                  <w:iCs/>
                  <w:color w:val="000000" w:themeColor="text1"/>
                  <w:sz w:val="20"/>
                </w:rPr>
                <w:t>Schecke</w:t>
              </w:r>
              <w:proofErr w:type="spellEnd"/>
              <w:r w:rsidR="00747C7E" w:rsidRPr="00F3784B">
                <w:rPr>
                  <w:rStyle w:val="Hypertextovodkaz"/>
                  <w:rFonts w:asciiTheme="minorHAnsi" w:hAnsiTheme="minorHAnsi"/>
                  <w:b/>
                  <w:i/>
                  <w:iCs/>
                  <w:color w:val="000000" w:themeColor="text1"/>
                  <w:sz w:val="20"/>
                </w:rPr>
                <w:t xml:space="preserve"> </w:t>
              </w:r>
              <w:proofErr w:type="spellStart"/>
              <w:r w:rsidR="00747C7E" w:rsidRPr="00F3784B">
                <w:rPr>
                  <w:rStyle w:val="Hypertextovodkaz"/>
                  <w:rFonts w:asciiTheme="minorHAnsi" w:hAnsiTheme="minorHAnsi"/>
                  <w:b/>
                  <w:i/>
                  <w:iCs/>
                  <w:color w:val="000000" w:themeColor="text1"/>
                  <w:sz w:val="20"/>
                </w:rPr>
                <w:t>GbR</w:t>
              </w:r>
              <w:proofErr w:type="spellEnd"/>
              <w:r w:rsidR="00460264" w:rsidRPr="00F3784B">
                <w:rPr>
                  <w:rStyle w:val="Hypertextovodkaz"/>
                  <w:rFonts w:asciiTheme="minorHAnsi" w:hAnsiTheme="minorHAnsi"/>
                  <w:b/>
                  <w:i/>
                  <w:iCs/>
                  <w:color w:val="000000" w:themeColor="text1"/>
                  <w:sz w:val="20"/>
                </w:rPr>
                <w:t xml:space="preserve"> a </w:t>
              </w:r>
              <w:r w:rsidR="00747C7E" w:rsidRPr="00F3784B">
                <w:rPr>
                  <w:rStyle w:val="Hypertextovodkaz"/>
                  <w:rFonts w:asciiTheme="minorHAnsi" w:hAnsiTheme="minorHAnsi"/>
                  <w:b/>
                  <w:i/>
                  <w:iCs/>
                  <w:color w:val="000000" w:themeColor="text1"/>
                  <w:sz w:val="20"/>
                </w:rPr>
                <w:t xml:space="preserve">Hartmut </w:t>
              </w:r>
              <w:proofErr w:type="spellStart"/>
              <w:r w:rsidR="00747C7E" w:rsidRPr="00F3784B">
                <w:rPr>
                  <w:rStyle w:val="Hypertextovodkaz"/>
                  <w:rFonts w:asciiTheme="minorHAnsi" w:hAnsiTheme="minorHAnsi"/>
                  <w:b/>
                  <w:i/>
                  <w:iCs/>
                  <w:color w:val="000000" w:themeColor="text1"/>
                  <w:sz w:val="20"/>
                </w:rPr>
                <w:t>Eifert</w:t>
              </w:r>
              <w:proofErr w:type="spellEnd"/>
              <w:r w:rsidR="00747C7E" w:rsidRPr="00F3784B">
                <w:rPr>
                  <w:rStyle w:val="Hypertextovodkaz"/>
                  <w:rFonts w:asciiTheme="minorHAnsi" w:hAnsiTheme="minorHAnsi"/>
                  <w:b/>
                  <w:i/>
                  <w:iCs/>
                  <w:color w:val="000000" w:themeColor="text1"/>
                  <w:sz w:val="20"/>
                </w:rPr>
                <w:t xml:space="preserve"> v. Land </w:t>
              </w:r>
              <w:proofErr w:type="spellStart"/>
              <w:r w:rsidR="00747C7E" w:rsidRPr="00F3784B">
                <w:rPr>
                  <w:rStyle w:val="Hypertextovodkaz"/>
                  <w:rFonts w:asciiTheme="minorHAnsi" w:hAnsiTheme="minorHAnsi"/>
                  <w:b/>
                  <w:i/>
                  <w:iCs/>
                  <w:color w:val="000000" w:themeColor="text1"/>
                  <w:sz w:val="20"/>
                </w:rPr>
                <w:t>Hessen</w:t>
              </w:r>
              <w:proofErr w:type="spellEnd"/>
              <w:r w:rsidR="00747C7E" w:rsidRPr="00F3784B">
                <w:rPr>
                  <w:rStyle w:val="Hypertextovodkaz"/>
                  <w:rFonts w:asciiTheme="minorHAnsi" w:hAnsiTheme="minorHAnsi"/>
                  <w:b/>
                  <w:color w:val="000000" w:themeColor="text1"/>
                  <w:sz w:val="20"/>
                </w:rPr>
                <w:t>, C-92/09</w:t>
              </w:r>
              <w:r w:rsidR="00460264" w:rsidRPr="00F3784B">
                <w:rPr>
                  <w:rStyle w:val="Hypertextovodkaz"/>
                  <w:rFonts w:asciiTheme="minorHAnsi" w:hAnsiTheme="minorHAnsi"/>
                  <w:b/>
                  <w:color w:val="000000" w:themeColor="text1"/>
                  <w:sz w:val="20"/>
                </w:rPr>
                <w:t xml:space="preserve"> a </w:t>
              </w:r>
              <w:r w:rsidR="00747C7E" w:rsidRPr="00F3784B">
                <w:rPr>
                  <w:rStyle w:val="Hypertextovodkaz"/>
                  <w:rFonts w:asciiTheme="minorHAnsi" w:hAnsiTheme="minorHAnsi"/>
                  <w:b/>
                  <w:color w:val="000000" w:themeColor="text1"/>
                  <w:sz w:val="20"/>
                </w:rPr>
                <w:t>C-93/09, ECLI:EU: C:2010: 662</w:t>
              </w:r>
            </w:hyperlink>
          </w:p>
          <w:p w14:paraId="7C092FB0" w14:textId="77777777" w:rsidR="00ED6B1D" w:rsidRPr="00662304" w:rsidRDefault="00ED6B1D" w:rsidP="00ED6B1D">
            <w:pPr>
              <w:spacing w:line="276" w:lineRule="auto"/>
              <w:jc w:val="right"/>
              <w:rPr>
                <w:rFonts w:asciiTheme="minorHAnsi" w:hAnsiTheme="minorHAnsi"/>
                <w:b/>
                <w:sz w:val="20"/>
                <w:szCs w:val="20"/>
                <w:lang w:val="en-US"/>
              </w:rPr>
            </w:pPr>
          </w:p>
          <w:p w14:paraId="0777741E" w14:textId="77777777" w:rsidR="00747C7E" w:rsidRDefault="00747C7E" w:rsidP="0048041D">
            <w:pPr>
              <w:spacing w:line="276" w:lineRule="auto"/>
              <w:jc w:val="both"/>
              <w:rPr>
                <w:rFonts w:asciiTheme="minorHAnsi" w:hAnsiTheme="minorHAnsi"/>
                <w:sz w:val="20"/>
              </w:rPr>
            </w:pPr>
            <w:r>
              <w:rPr>
                <w:rFonts w:asciiTheme="minorHAnsi" w:hAnsiTheme="minorHAnsi"/>
                <w:sz w:val="20"/>
              </w:rPr>
              <w:t xml:space="preserve">Věc se týká řízení mezi společností Volker </w:t>
            </w:r>
            <w:proofErr w:type="spellStart"/>
            <w:r>
              <w:rPr>
                <w:rFonts w:asciiTheme="minorHAnsi" w:hAnsiTheme="minorHAnsi"/>
                <w:sz w:val="20"/>
              </w:rPr>
              <w:t>und</w:t>
            </w:r>
            <w:proofErr w:type="spellEnd"/>
            <w:r>
              <w:rPr>
                <w:rFonts w:asciiTheme="minorHAnsi" w:hAnsiTheme="minorHAnsi"/>
                <w:sz w:val="20"/>
              </w:rPr>
              <w:t xml:space="preserve"> Markus </w:t>
            </w:r>
            <w:proofErr w:type="spellStart"/>
            <w:r>
              <w:rPr>
                <w:rFonts w:asciiTheme="minorHAnsi" w:hAnsiTheme="minorHAnsi"/>
                <w:sz w:val="20"/>
              </w:rPr>
              <w:t>Schecke</w:t>
            </w:r>
            <w:proofErr w:type="spellEnd"/>
            <w:r w:rsidR="00460264">
              <w:rPr>
                <w:rFonts w:asciiTheme="minorHAnsi" w:hAnsiTheme="minorHAnsi"/>
                <w:sz w:val="20"/>
              </w:rPr>
              <w:t xml:space="preserve"> a </w:t>
            </w:r>
            <w:r>
              <w:rPr>
                <w:rFonts w:asciiTheme="minorHAnsi" w:hAnsiTheme="minorHAnsi"/>
                <w:sz w:val="20"/>
              </w:rPr>
              <w:t xml:space="preserve">Land </w:t>
            </w:r>
            <w:proofErr w:type="spellStart"/>
            <w:r>
              <w:rPr>
                <w:rFonts w:asciiTheme="minorHAnsi" w:hAnsiTheme="minorHAnsi"/>
                <w:sz w:val="20"/>
              </w:rPr>
              <w:t>Hessen</w:t>
            </w:r>
            <w:proofErr w:type="spellEnd"/>
            <w:r>
              <w:rPr>
                <w:rFonts w:asciiTheme="minorHAnsi" w:hAnsiTheme="minorHAnsi"/>
                <w:sz w:val="20"/>
              </w:rPr>
              <w:t xml:space="preserve"> (spolková země Hesensko) ohledně zveřejnění osobních údajů týkajících se jich jako příjemců finančních prostředků</w:t>
            </w:r>
            <w:r w:rsidR="00460264">
              <w:rPr>
                <w:rFonts w:asciiTheme="minorHAnsi" w:hAnsiTheme="minorHAnsi"/>
                <w:sz w:val="20"/>
              </w:rPr>
              <w:t xml:space="preserve"> z </w:t>
            </w:r>
            <w:r>
              <w:rPr>
                <w:rFonts w:asciiTheme="minorHAnsi" w:hAnsiTheme="minorHAnsi"/>
                <w:sz w:val="20"/>
              </w:rPr>
              <w:t>EZZF nebo EZFRV na internetové stránce Spolkového úřadu pro zemědělství</w:t>
            </w:r>
            <w:r w:rsidR="00460264">
              <w:rPr>
                <w:rFonts w:asciiTheme="minorHAnsi" w:hAnsiTheme="minorHAnsi"/>
                <w:sz w:val="20"/>
              </w:rPr>
              <w:t xml:space="preserve"> a </w:t>
            </w:r>
            <w:r>
              <w:rPr>
                <w:rFonts w:asciiTheme="minorHAnsi" w:hAnsiTheme="minorHAnsi"/>
                <w:sz w:val="20"/>
              </w:rPr>
              <w:t>výživu.</w:t>
            </w:r>
          </w:p>
          <w:p w14:paraId="0CAE5C12" w14:textId="77777777" w:rsidR="0048041D" w:rsidRPr="00662304" w:rsidRDefault="0048041D" w:rsidP="0048041D">
            <w:pPr>
              <w:spacing w:line="276" w:lineRule="auto"/>
              <w:jc w:val="both"/>
              <w:rPr>
                <w:rFonts w:asciiTheme="minorHAnsi" w:hAnsiTheme="minorHAnsi"/>
                <w:sz w:val="20"/>
                <w:szCs w:val="20"/>
              </w:rPr>
            </w:pPr>
          </w:p>
          <w:p w14:paraId="180EE8B9" w14:textId="77777777" w:rsidR="00747C7E" w:rsidRDefault="00747C7E" w:rsidP="0048041D">
            <w:pPr>
              <w:spacing w:line="276" w:lineRule="auto"/>
              <w:jc w:val="both"/>
              <w:rPr>
                <w:rFonts w:asciiTheme="minorHAnsi" w:hAnsiTheme="minorHAnsi"/>
                <w:sz w:val="20"/>
                <w:szCs w:val="20"/>
              </w:rPr>
            </w:pPr>
            <w:r>
              <w:rPr>
                <w:rFonts w:asciiTheme="minorHAnsi" w:hAnsiTheme="minorHAnsi"/>
                <w:sz w:val="20"/>
              </w:rPr>
              <w:t xml:space="preserve">Ustanovení </w:t>
            </w:r>
            <w:r w:rsidR="00460264">
              <w:rPr>
                <w:rFonts w:asciiTheme="minorHAnsi" w:hAnsiTheme="minorHAnsi"/>
                <w:sz w:val="20"/>
              </w:rPr>
              <w:t>čl. </w:t>
            </w:r>
            <w:r>
              <w:rPr>
                <w:rFonts w:asciiTheme="minorHAnsi" w:hAnsiTheme="minorHAnsi"/>
                <w:sz w:val="20"/>
              </w:rPr>
              <w:t>8 odst. 1 Listiny stanoví že „[k]</w:t>
            </w:r>
            <w:proofErr w:type="spellStart"/>
            <w:r>
              <w:rPr>
                <w:rFonts w:asciiTheme="minorHAnsi" w:hAnsiTheme="minorHAnsi"/>
                <w:sz w:val="20"/>
              </w:rPr>
              <w:t>aždý</w:t>
            </w:r>
            <w:proofErr w:type="spellEnd"/>
            <w:r>
              <w:rPr>
                <w:rFonts w:asciiTheme="minorHAnsi" w:hAnsiTheme="minorHAnsi"/>
                <w:sz w:val="20"/>
              </w:rPr>
              <w:t xml:space="preserve"> má právo na ochranu osobních údajů, které se jej týkají“. Toto základní právo úzce souvisí</w:t>
            </w:r>
            <w:r w:rsidR="00460264">
              <w:rPr>
                <w:rFonts w:asciiTheme="minorHAnsi" w:hAnsiTheme="minorHAnsi"/>
                <w:sz w:val="20"/>
              </w:rPr>
              <w:t xml:space="preserve"> s </w:t>
            </w:r>
            <w:r>
              <w:rPr>
                <w:rFonts w:asciiTheme="minorHAnsi" w:hAnsiTheme="minorHAnsi"/>
                <w:sz w:val="20"/>
              </w:rPr>
              <w:t>právem na respektování soukromého života zakotveným</w:t>
            </w:r>
            <w:r w:rsidR="00460264">
              <w:rPr>
                <w:rFonts w:asciiTheme="minorHAnsi" w:hAnsiTheme="minorHAnsi"/>
                <w:sz w:val="20"/>
              </w:rPr>
              <w:t xml:space="preserve"> v </w:t>
            </w:r>
            <w:r>
              <w:rPr>
                <w:rFonts w:asciiTheme="minorHAnsi" w:hAnsiTheme="minorHAnsi"/>
                <w:sz w:val="20"/>
              </w:rPr>
              <w:t>článku 7 téže Listiny.</w:t>
            </w:r>
          </w:p>
          <w:p w14:paraId="0F02ADF1" w14:textId="77777777" w:rsidR="00771C0C" w:rsidRPr="007D56D6" w:rsidRDefault="00771C0C" w:rsidP="0048041D">
            <w:pPr>
              <w:spacing w:line="276" w:lineRule="auto"/>
              <w:jc w:val="both"/>
              <w:rPr>
                <w:rFonts w:asciiTheme="minorHAnsi" w:hAnsiTheme="minorHAnsi"/>
                <w:sz w:val="20"/>
                <w:szCs w:val="20"/>
              </w:rPr>
            </w:pPr>
          </w:p>
          <w:p w14:paraId="74D7BAE2" w14:textId="77777777" w:rsidR="00747C7E" w:rsidRDefault="00747C7E" w:rsidP="0048041D">
            <w:pPr>
              <w:spacing w:line="276" w:lineRule="auto"/>
              <w:jc w:val="both"/>
              <w:rPr>
                <w:rFonts w:asciiTheme="minorHAnsi" w:hAnsiTheme="minorHAnsi"/>
                <w:sz w:val="20"/>
              </w:rPr>
            </w:pPr>
            <w:r>
              <w:rPr>
                <w:rFonts w:asciiTheme="minorHAnsi" w:hAnsiTheme="minorHAnsi"/>
                <w:sz w:val="20"/>
              </w:rPr>
              <w:t>Soud konstatoval, že právo na ochranu osobních údajů se však neprojevuje jako absolutní výsada, ale musí</w:t>
            </w:r>
            <w:r w:rsidR="00460264">
              <w:rPr>
                <w:rFonts w:asciiTheme="minorHAnsi" w:hAnsiTheme="minorHAnsi"/>
                <w:sz w:val="20"/>
              </w:rPr>
              <w:t xml:space="preserve"> k </w:t>
            </w:r>
            <w:r>
              <w:rPr>
                <w:rFonts w:asciiTheme="minorHAnsi" w:hAnsiTheme="minorHAnsi"/>
                <w:sz w:val="20"/>
              </w:rPr>
              <w:t>němu být přihlédnuto ve vztahu</w:t>
            </w:r>
            <w:r w:rsidR="00460264">
              <w:rPr>
                <w:rFonts w:asciiTheme="minorHAnsi" w:hAnsiTheme="minorHAnsi"/>
                <w:sz w:val="20"/>
              </w:rPr>
              <w:t xml:space="preserve"> k </w:t>
            </w:r>
            <w:r>
              <w:rPr>
                <w:rFonts w:asciiTheme="minorHAnsi" w:hAnsiTheme="minorHAnsi"/>
                <w:sz w:val="20"/>
              </w:rPr>
              <w:t xml:space="preserve">jeho funkci ve společnosti Ustanovení </w:t>
            </w:r>
            <w:r w:rsidR="00460264">
              <w:rPr>
                <w:rFonts w:asciiTheme="minorHAnsi" w:hAnsiTheme="minorHAnsi"/>
                <w:sz w:val="20"/>
              </w:rPr>
              <w:t>čl. </w:t>
            </w:r>
            <w:r>
              <w:rPr>
                <w:rFonts w:asciiTheme="minorHAnsi" w:hAnsiTheme="minorHAnsi"/>
                <w:sz w:val="20"/>
              </w:rPr>
              <w:t>8 odst. 2 Listiny tak umožňuje zpracovávání osobních údajů, jsou-li splněny určité podmínky.</w:t>
            </w:r>
          </w:p>
          <w:p w14:paraId="1329631F" w14:textId="77777777" w:rsidR="0048041D" w:rsidRPr="00662304" w:rsidRDefault="0048041D" w:rsidP="0048041D">
            <w:pPr>
              <w:spacing w:line="276" w:lineRule="auto"/>
              <w:jc w:val="both"/>
              <w:rPr>
                <w:rFonts w:asciiTheme="minorHAnsi" w:hAnsiTheme="minorHAnsi"/>
                <w:sz w:val="20"/>
                <w:szCs w:val="20"/>
              </w:rPr>
            </w:pPr>
          </w:p>
          <w:p w14:paraId="35CC48D8" w14:textId="77777777" w:rsidR="00747C7E" w:rsidRPr="00662304" w:rsidRDefault="00747C7E" w:rsidP="0048041D">
            <w:pPr>
              <w:spacing w:line="276" w:lineRule="auto"/>
              <w:jc w:val="both"/>
              <w:rPr>
                <w:rFonts w:asciiTheme="minorHAnsi" w:hAnsiTheme="minorHAnsi"/>
                <w:sz w:val="20"/>
                <w:szCs w:val="20"/>
              </w:rPr>
            </w:pPr>
            <w:r>
              <w:rPr>
                <w:rFonts w:asciiTheme="minorHAnsi" w:hAnsiTheme="minorHAnsi"/>
                <w:sz w:val="20"/>
              </w:rPr>
              <w:t xml:space="preserve">Ustanovení </w:t>
            </w:r>
            <w:r w:rsidR="00460264">
              <w:rPr>
                <w:rFonts w:asciiTheme="minorHAnsi" w:hAnsiTheme="minorHAnsi"/>
                <w:sz w:val="20"/>
              </w:rPr>
              <w:t>čl. </w:t>
            </w:r>
            <w:r>
              <w:rPr>
                <w:rFonts w:asciiTheme="minorHAnsi" w:hAnsiTheme="minorHAnsi"/>
                <w:sz w:val="20"/>
              </w:rPr>
              <w:t>52 odst. 1 Listiny připouští, že výkon takových práv, jako jsou práva zakotvená</w:t>
            </w:r>
            <w:r w:rsidR="00460264">
              <w:rPr>
                <w:rFonts w:asciiTheme="minorHAnsi" w:hAnsiTheme="minorHAnsi"/>
                <w:sz w:val="20"/>
              </w:rPr>
              <w:t xml:space="preserve"> v </w:t>
            </w:r>
            <w:r>
              <w:rPr>
                <w:rFonts w:asciiTheme="minorHAnsi" w:hAnsiTheme="minorHAnsi"/>
                <w:sz w:val="20"/>
              </w:rPr>
              <w:t>jejích článcích 7</w:t>
            </w:r>
            <w:r w:rsidR="00460264">
              <w:rPr>
                <w:rFonts w:asciiTheme="minorHAnsi" w:hAnsiTheme="minorHAnsi"/>
                <w:sz w:val="20"/>
              </w:rPr>
              <w:t xml:space="preserve"> a </w:t>
            </w:r>
            <w:r>
              <w:rPr>
                <w:rFonts w:asciiTheme="minorHAnsi" w:hAnsiTheme="minorHAnsi"/>
                <w:sz w:val="20"/>
              </w:rPr>
              <w:t>8, může být omezen, za předpokladu, že tato omezení jsou stanovena zákonem, respektují podstatu uvedených práv</w:t>
            </w:r>
            <w:r w:rsidR="00460264">
              <w:rPr>
                <w:rFonts w:asciiTheme="minorHAnsi" w:hAnsiTheme="minorHAnsi"/>
                <w:sz w:val="20"/>
              </w:rPr>
              <w:t xml:space="preserve"> a </w:t>
            </w:r>
            <w:r>
              <w:rPr>
                <w:rFonts w:asciiTheme="minorHAnsi" w:hAnsiTheme="minorHAnsi"/>
                <w:sz w:val="20"/>
              </w:rPr>
              <w:t>svobod a, při dodržení zásady proporcionality, jsou nezbytná</w:t>
            </w:r>
            <w:r w:rsidR="00460264">
              <w:rPr>
                <w:rFonts w:asciiTheme="minorHAnsi" w:hAnsiTheme="minorHAnsi"/>
                <w:sz w:val="20"/>
              </w:rPr>
              <w:t xml:space="preserve"> a </w:t>
            </w:r>
            <w:r>
              <w:rPr>
                <w:rFonts w:asciiTheme="minorHAnsi" w:hAnsiTheme="minorHAnsi"/>
                <w:sz w:val="20"/>
              </w:rPr>
              <w:t>skutečně odpovídají cílům obecného zájmu, které uznává Unie, nebo potřebě ochrany práv</w:t>
            </w:r>
            <w:r w:rsidR="00460264">
              <w:rPr>
                <w:rFonts w:asciiTheme="minorHAnsi" w:hAnsiTheme="minorHAnsi"/>
                <w:sz w:val="20"/>
              </w:rPr>
              <w:t xml:space="preserve"> a </w:t>
            </w:r>
            <w:r>
              <w:rPr>
                <w:rFonts w:asciiTheme="minorHAnsi" w:hAnsiTheme="minorHAnsi"/>
                <w:sz w:val="20"/>
              </w:rPr>
              <w:t>svobod druhého.</w:t>
            </w:r>
          </w:p>
        </w:tc>
      </w:tr>
    </w:tbl>
    <w:p w14:paraId="77D2A353" w14:textId="77777777" w:rsidR="001B6F7B" w:rsidRPr="007D56D6" w:rsidRDefault="001B6F7B" w:rsidP="00EC2273">
      <w:pPr>
        <w:spacing w:line="276" w:lineRule="auto"/>
        <w:jc w:val="both"/>
        <w:rPr>
          <w:rFonts w:cstheme="minorHAnsi"/>
        </w:rPr>
      </w:pPr>
    </w:p>
    <w:p w14:paraId="66D09FB6" w14:textId="77777777" w:rsidR="00EC2273" w:rsidRPr="00674960" w:rsidRDefault="00EC2273" w:rsidP="00EC2273">
      <w:pPr>
        <w:spacing w:line="276" w:lineRule="auto"/>
        <w:jc w:val="both"/>
        <w:rPr>
          <w:rFonts w:cstheme="minorHAnsi"/>
          <w:color w:val="384575"/>
        </w:rPr>
      </w:pPr>
      <w:r w:rsidRPr="00674960">
        <w:rPr>
          <w:color w:val="384575"/>
        </w:rPr>
        <w:t>Ačkoli to není uvedeno</w:t>
      </w:r>
      <w:r w:rsidR="00460264" w:rsidRPr="00674960">
        <w:rPr>
          <w:color w:val="384575"/>
        </w:rPr>
        <w:t xml:space="preserve"> v čl. </w:t>
      </w:r>
      <w:r w:rsidRPr="00674960">
        <w:rPr>
          <w:color w:val="384575"/>
        </w:rPr>
        <w:t>52 odst. 1 Listiny, nelze některá základní práva omezit. Vzhledem</w:t>
      </w:r>
      <w:r w:rsidR="00460264" w:rsidRPr="00674960">
        <w:rPr>
          <w:color w:val="384575"/>
        </w:rPr>
        <w:t xml:space="preserve"> k </w:t>
      </w:r>
      <w:r w:rsidRPr="00674960">
        <w:rPr>
          <w:color w:val="384575"/>
        </w:rPr>
        <w:t xml:space="preserve">tomu, že EÚLP působí jako minimální standard ochrany, nemohou být na základě </w:t>
      </w:r>
      <w:r w:rsidR="00460264" w:rsidRPr="00674960">
        <w:rPr>
          <w:color w:val="384575"/>
        </w:rPr>
        <w:t>čl. </w:t>
      </w:r>
      <w:r w:rsidRPr="00674960">
        <w:rPr>
          <w:color w:val="384575"/>
        </w:rPr>
        <w:t>52 odst. 3 Listiny omezena ani základní práva, která jsou podle EÚLP charakterizována jako absolutní práva (například právo na život nebo zákaz mučení, nelidského</w:t>
      </w:r>
      <w:r w:rsidR="00460264" w:rsidRPr="00674960">
        <w:rPr>
          <w:color w:val="384575"/>
        </w:rPr>
        <w:t xml:space="preserve"> a </w:t>
      </w:r>
      <w:r w:rsidRPr="00674960">
        <w:rPr>
          <w:color w:val="384575"/>
        </w:rPr>
        <w:t>ponižujícího zacházení).</w:t>
      </w:r>
    </w:p>
    <w:p w14:paraId="6C8BECFF" w14:textId="77777777" w:rsidR="00EB6665" w:rsidRDefault="00EB6665" w:rsidP="00EC2273">
      <w:pPr>
        <w:spacing w:line="276" w:lineRule="auto"/>
        <w:jc w:val="both"/>
        <w:rPr>
          <w:rFonts w:cstheme="minorHAnsi"/>
        </w:rPr>
      </w:pPr>
    </w:p>
    <w:p w14:paraId="6B02FD39" w14:textId="77777777" w:rsidR="00F766DC" w:rsidRPr="007D56D6" w:rsidRDefault="00F766DC" w:rsidP="00EC2273">
      <w:pPr>
        <w:spacing w:line="276" w:lineRule="auto"/>
        <w:jc w:val="both"/>
        <w:rPr>
          <w:rFonts w:cstheme="minorHAnsi"/>
        </w:rPr>
      </w:pPr>
    </w:p>
    <w:p w14:paraId="4F0FD158" w14:textId="77777777" w:rsidR="00871E9D" w:rsidRPr="00C61069" w:rsidRDefault="00491D84" w:rsidP="00C61069">
      <w:pPr>
        <w:pStyle w:val="Odstavecseseznamem"/>
        <w:numPr>
          <w:ilvl w:val="1"/>
          <w:numId w:val="1"/>
        </w:numPr>
        <w:spacing w:after="120" w:line="276" w:lineRule="auto"/>
        <w:ind w:left="567" w:hanging="567"/>
        <w:contextualSpacing w:val="0"/>
        <w:jc w:val="both"/>
        <w:rPr>
          <w:b/>
          <w:color w:val="B6A04C"/>
          <w:sz w:val="32"/>
          <w:szCs w:val="32"/>
        </w:rPr>
      </w:pPr>
      <w:r w:rsidRPr="00C61069">
        <w:rPr>
          <w:b/>
          <w:color w:val="B6A04C"/>
          <w:sz w:val="32"/>
          <w:szCs w:val="32"/>
        </w:rPr>
        <w:t xml:space="preserve"> </w:t>
      </w:r>
      <w:r w:rsidR="0048041D" w:rsidRPr="00C61069">
        <w:rPr>
          <w:b/>
          <w:color w:val="B6A04C"/>
          <w:sz w:val="32"/>
          <w:szCs w:val="32"/>
        </w:rPr>
        <w:tab/>
      </w:r>
      <w:r w:rsidRPr="00C61069">
        <w:rPr>
          <w:b/>
          <w:color w:val="B6A04C"/>
          <w:sz w:val="32"/>
          <w:szCs w:val="32"/>
        </w:rPr>
        <w:t>Vzájemný vztah mezi Listinou EU</w:t>
      </w:r>
      <w:r w:rsidR="00460264" w:rsidRPr="00C61069">
        <w:rPr>
          <w:b/>
          <w:color w:val="B6A04C"/>
          <w:sz w:val="32"/>
          <w:szCs w:val="32"/>
        </w:rPr>
        <w:t xml:space="preserve"> a </w:t>
      </w:r>
      <w:r w:rsidRPr="00C61069">
        <w:rPr>
          <w:b/>
          <w:color w:val="B6A04C"/>
          <w:sz w:val="32"/>
          <w:szCs w:val="32"/>
        </w:rPr>
        <w:t>Evropskou úmluvou</w:t>
      </w:r>
      <w:r w:rsidR="00460264" w:rsidRPr="00C61069">
        <w:rPr>
          <w:b/>
          <w:color w:val="B6A04C"/>
          <w:sz w:val="32"/>
          <w:szCs w:val="32"/>
        </w:rPr>
        <w:t xml:space="preserve"> o </w:t>
      </w:r>
      <w:r w:rsidRPr="00C61069">
        <w:rPr>
          <w:b/>
          <w:color w:val="B6A04C"/>
          <w:sz w:val="32"/>
          <w:szCs w:val="32"/>
        </w:rPr>
        <w:t>lidských právech</w:t>
      </w:r>
    </w:p>
    <w:p w14:paraId="2CDF0D96" w14:textId="77777777" w:rsidR="00B05272" w:rsidRPr="00674960" w:rsidRDefault="00B05272" w:rsidP="00B05272">
      <w:pPr>
        <w:autoSpaceDE w:val="0"/>
        <w:autoSpaceDN w:val="0"/>
        <w:adjustRightInd w:val="0"/>
        <w:spacing w:after="120" w:line="276" w:lineRule="auto"/>
        <w:jc w:val="both"/>
        <w:rPr>
          <w:color w:val="384575"/>
          <w:kern w:val="24"/>
        </w:rPr>
      </w:pPr>
      <w:r w:rsidRPr="00674960">
        <w:rPr>
          <w:color w:val="384575"/>
        </w:rPr>
        <w:t>Jak již bylo uvedeno, Evropská úmluva</w:t>
      </w:r>
      <w:r w:rsidR="00460264" w:rsidRPr="00674960">
        <w:rPr>
          <w:color w:val="384575"/>
        </w:rPr>
        <w:t xml:space="preserve"> o </w:t>
      </w:r>
      <w:r w:rsidRPr="00674960">
        <w:rPr>
          <w:color w:val="384575"/>
        </w:rPr>
        <w:t>lidských právech (dále jen „Úmluva“), přijatá</w:t>
      </w:r>
      <w:r w:rsidR="00460264" w:rsidRPr="00674960">
        <w:rPr>
          <w:color w:val="384575"/>
        </w:rPr>
        <w:t xml:space="preserve"> v </w:t>
      </w:r>
      <w:r w:rsidRPr="00674960">
        <w:rPr>
          <w:color w:val="384575"/>
        </w:rPr>
        <w:t>roce 1950 (a její následné dodatkové protokoly), zaručuje menší počet práv než Listina základních práv Evropské unie</w:t>
      </w:r>
      <w:r w:rsidR="00460264" w:rsidRPr="00674960">
        <w:rPr>
          <w:color w:val="384575"/>
        </w:rPr>
        <w:t xml:space="preserve"> z </w:t>
      </w:r>
      <w:r w:rsidRPr="00674960">
        <w:rPr>
          <w:color w:val="384575"/>
        </w:rPr>
        <w:t>roku 2012, přičemž zejména vyjímá hospodářská</w:t>
      </w:r>
      <w:r w:rsidR="00460264" w:rsidRPr="00674960">
        <w:rPr>
          <w:color w:val="384575"/>
        </w:rPr>
        <w:t xml:space="preserve"> a </w:t>
      </w:r>
      <w:r w:rsidRPr="00674960">
        <w:rPr>
          <w:color w:val="384575"/>
        </w:rPr>
        <w:t>sociální práva zakotvená</w:t>
      </w:r>
      <w:r w:rsidR="00460264" w:rsidRPr="00674960">
        <w:rPr>
          <w:color w:val="384575"/>
        </w:rPr>
        <w:t xml:space="preserve"> v </w:t>
      </w:r>
      <w:r w:rsidRPr="00674960">
        <w:rPr>
          <w:color w:val="384575"/>
        </w:rPr>
        <w:t>Evropské sociální chartě Rady Evropy.</w:t>
      </w:r>
    </w:p>
    <w:p w14:paraId="04190D8F" w14:textId="77777777" w:rsidR="00B05272" w:rsidRPr="00674960" w:rsidRDefault="00B05272" w:rsidP="00B05272">
      <w:pPr>
        <w:autoSpaceDE w:val="0"/>
        <w:autoSpaceDN w:val="0"/>
        <w:adjustRightInd w:val="0"/>
        <w:spacing w:after="120" w:line="276" w:lineRule="auto"/>
        <w:jc w:val="both"/>
        <w:rPr>
          <w:color w:val="384575"/>
          <w:kern w:val="24"/>
        </w:rPr>
      </w:pPr>
      <w:r w:rsidRPr="00674960">
        <w:rPr>
          <w:color w:val="384575"/>
        </w:rPr>
        <w:lastRenderedPageBreak/>
        <w:t>Příkladem jsou práva stanovená</w:t>
      </w:r>
      <w:r w:rsidR="00460264" w:rsidRPr="00674960">
        <w:rPr>
          <w:color w:val="384575"/>
        </w:rPr>
        <w:t xml:space="preserve"> v </w:t>
      </w:r>
      <w:r w:rsidRPr="00674960">
        <w:rPr>
          <w:color w:val="384575"/>
        </w:rPr>
        <w:t>hlavě IV Listiny týkající se solidarity,</w:t>
      </w:r>
      <w:r w:rsidR="00460264" w:rsidRPr="00674960">
        <w:rPr>
          <w:color w:val="384575"/>
        </w:rPr>
        <w:t xml:space="preserve"> z </w:t>
      </w:r>
      <w:r w:rsidRPr="00674960">
        <w:rPr>
          <w:color w:val="384575"/>
        </w:rPr>
        <w:t>nichž většina se</w:t>
      </w:r>
      <w:r w:rsidR="00460264" w:rsidRPr="00674960">
        <w:rPr>
          <w:color w:val="384575"/>
        </w:rPr>
        <w:t xml:space="preserve"> v </w:t>
      </w:r>
      <w:r w:rsidRPr="00674960">
        <w:rPr>
          <w:color w:val="384575"/>
        </w:rPr>
        <w:t>Úmluvě nevyskytuje, nebo právo svobodné volby povolání</w:t>
      </w:r>
      <w:r w:rsidR="00460264" w:rsidRPr="00674960">
        <w:rPr>
          <w:color w:val="384575"/>
        </w:rPr>
        <w:t xml:space="preserve"> a </w:t>
      </w:r>
      <w:r w:rsidRPr="00674960">
        <w:rPr>
          <w:color w:val="384575"/>
        </w:rPr>
        <w:t>právo pracovat (článek 15 Listiny). Vývoj výkladu Úmluvy ze strany Evropského soudu pro lidská práva však znamená, že některá práva uvedená</w:t>
      </w:r>
      <w:r w:rsidR="00460264" w:rsidRPr="00674960">
        <w:rPr>
          <w:color w:val="384575"/>
        </w:rPr>
        <w:t xml:space="preserve"> v </w:t>
      </w:r>
      <w:r w:rsidRPr="00674960">
        <w:rPr>
          <w:color w:val="384575"/>
        </w:rPr>
        <w:t>Listině, která nejsou výslovně zaručena Úmluvou, mohou být pokryta (např. ochrana údajů podle článku 8 Listiny prostřednictvím článku 8 Úmluvy). Evropský soud poukazuje na to, že Úmluva je živý nástroj, který je třeba vykládat</w:t>
      </w:r>
      <w:r w:rsidR="00460264" w:rsidRPr="00674960">
        <w:rPr>
          <w:color w:val="384575"/>
        </w:rPr>
        <w:t xml:space="preserve"> s </w:t>
      </w:r>
      <w:r w:rsidRPr="00674960">
        <w:rPr>
          <w:color w:val="384575"/>
        </w:rPr>
        <w:t>ohledem na aktuální podmínky.</w:t>
      </w:r>
    </w:p>
    <w:p w14:paraId="5029E729" w14:textId="77777777" w:rsidR="00B05272" w:rsidRPr="00674960" w:rsidRDefault="00B05272" w:rsidP="00B05272">
      <w:pPr>
        <w:autoSpaceDE w:val="0"/>
        <w:autoSpaceDN w:val="0"/>
        <w:adjustRightInd w:val="0"/>
        <w:spacing w:after="120" w:line="276" w:lineRule="auto"/>
        <w:jc w:val="both"/>
        <w:rPr>
          <w:color w:val="384575"/>
          <w:kern w:val="24"/>
        </w:rPr>
      </w:pPr>
      <w:r w:rsidRPr="00674960">
        <w:rPr>
          <w:color w:val="384575"/>
        </w:rPr>
        <w:t>Evropská unie dosud není signatářem Evropské úmluvy</w:t>
      </w:r>
      <w:r w:rsidR="00460264" w:rsidRPr="00674960">
        <w:rPr>
          <w:color w:val="384575"/>
        </w:rPr>
        <w:t xml:space="preserve"> o </w:t>
      </w:r>
      <w:r w:rsidRPr="00674960">
        <w:rPr>
          <w:color w:val="384575"/>
        </w:rPr>
        <w:t>lidských právech. Unie</w:t>
      </w:r>
      <w:r w:rsidR="00460264" w:rsidRPr="00674960">
        <w:rPr>
          <w:color w:val="384575"/>
        </w:rPr>
        <w:t xml:space="preserve"> o </w:t>
      </w:r>
      <w:r w:rsidRPr="00674960">
        <w:rPr>
          <w:color w:val="384575"/>
        </w:rPr>
        <w:t>přistoupení uvažuje již delší dobu, zejména od přijetí Listiny</w:t>
      </w:r>
      <w:r w:rsidR="00460264" w:rsidRPr="00674960">
        <w:rPr>
          <w:color w:val="384575"/>
        </w:rPr>
        <w:t xml:space="preserve"> v </w:t>
      </w:r>
      <w:r w:rsidRPr="00674960">
        <w:rPr>
          <w:color w:val="384575"/>
        </w:rPr>
        <w:t>roce 2000.</w:t>
      </w:r>
      <w:r w:rsidR="00460264" w:rsidRPr="00674960">
        <w:rPr>
          <w:color w:val="384575"/>
        </w:rPr>
        <w:t xml:space="preserve"> A </w:t>
      </w:r>
      <w:r w:rsidRPr="00674960">
        <w:rPr>
          <w:color w:val="384575"/>
        </w:rPr>
        <w:t>od přijetí Lisabonské smlouvy (dne 1. prosince 2009) je přistoupení ve skutečnosti povinností vyplývající ze Smlouvy (</w:t>
      </w:r>
      <w:r w:rsidR="00460264" w:rsidRPr="00674960">
        <w:rPr>
          <w:color w:val="384575"/>
        </w:rPr>
        <w:t>čl. </w:t>
      </w:r>
      <w:r w:rsidRPr="00674960">
        <w:rPr>
          <w:color w:val="384575"/>
        </w:rPr>
        <w:t>6 odst. 2 SEU).</w:t>
      </w:r>
    </w:p>
    <w:p w14:paraId="72960348" w14:textId="77777777" w:rsidR="00B05272" w:rsidRPr="00674960" w:rsidRDefault="00B05272" w:rsidP="00B05272">
      <w:pPr>
        <w:autoSpaceDE w:val="0"/>
        <w:autoSpaceDN w:val="0"/>
        <w:adjustRightInd w:val="0"/>
        <w:spacing w:after="120" w:line="276" w:lineRule="auto"/>
        <w:jc w:val="both"/>
        <w:rPr>
          <w:color w:val="384575"/>
          <w:kern w:val="24"/>
        </w:rPr>
      </w:pPr>
      <w:r w:rsidRPr="00674960">
        <w:rPr>
          <w:color w:val="384575"/>
        </w:rPr>
        <w:t>Soudní dvůr ve svém stanovisku 2/13 ze dne 18. prosince 2014 usoudil, že návrh dohody</w:t>
      </w:r>
      <w:r w:rsidR="00460264" w:rsidRPr="00674960">
        <w:rPr>
          <w:color w:val="384575"/>
        </w:rPr>
        <w:t xml:space="preserve"> o </w:t>
      </w:r>
      <w:r w:rsidRPr="00674960">
        <w:rPr>
          <w:color w:val="384575"/>
        </w:rPr>
        <w:t>přistoupení, který mu byl předložen, není slučitelný</w:t>
      </w:r>
      <w:r w:rsidR="00460264" w:rsidRPr="00674960">
        <w:rPr>
          <w:color w:val="384575"/>
        </w:rPr>
        <w:t xml:space="preserve"> s </w:t>
      </w:r>
      <w:r w:rsidRPr="00674960">
        <w:rPr>
          <w:color w:val="384575"/>
        </w:rPr>
        <w:t>unijním právem, což téměř ukončilo přístupová jednání. Ty byly obnoveny později na konci roku 2019.</w:t>
      </w:r>
      <w:r w:rsidR="00460264" w:rsidRPr="00674960">
        <w:rPr>
          <w:color w:val="384575"/>
        </w:rPr>
        <w:t xml:space="preserve"> V </w:t>
      </w:r>
      <w:r w:rsidRPr="00674960">
        <w:rPr>
          <w:color w:val="384575"/>
        </w:rPr>
        <w:t>krátkodobém horizontu lze nyní předpokládat příznivý výsledek.</w:t>
      </w:r>
    </w:p>
    <w:p w14:paraId="0008D6DF" w14:textId="77777777" w:rsidR="00B05272" w:rsidRPr="00674960" w:rsidRDefault="00B05272" w:rsidP="00B05272">
      <w:pPr>
        <w:autoSpaceDE w:val="0"/>
        <w:autoSpaceDN w:val="0"/>
        <w:adjustRightInd w:val="0"/>
        <w:spacing w:after="120" w:line="276" w:lineRule="auto"/>
        <w:jc w:val="both"/>
        <w:rPr>
          <w:color w:val="384575"/>
          <w:kern w:val="24"/>
        </w:rPr>
      </w:pPr>
      <w:r w:rsidRPr="00674960">
        <w:rPr>
          <w:color w:val="384575"/>
        </w:rPr>
        <w:t>Přistoupení Unie bude znamenat, že kromě ochrany základních práv podle unijního práva (a zejména Listiny) bude Evropská unie povinna dodržovat Úmluvu</w:t>
      </w:r>
      <w:r w:rsidR="00460264" w:rsidRPr="00674960">
        <w:rPr>
          <w:color w:val="384575"/>
        </w:rPr>
        <w:t xml:space="preserve"> a </w:t>
      </w:r>
      <w:r w:rsidRPr="00674960">
        <w:rPr>
          <w:color w:val="384575"/>
        </w:rPr>
        <w:t>bude podléhat přezkumu ze strany ESLP. Akty unijního práva budou podléhat přezkumu ze strany ESLP, pokud jde</w:t>
      </w:r>
      <w:r w:rsidR="00460264" w:rsidRPr="00674960">
        <w:rPr>
          <w:color w:val="384575"/>
        </w:rPr>
        <w:t xml:space="preserve"> o </w:t>
      </w:r>
      <w:r w:rsidRPr="00674960">
        <w:rPr>
          <w:color w:val="384575"/>
        </w:rPr>
        <w:t>práva zaručená Úmluvou.</w:t>
      </w:r>
    </w:p>
    <w:p w14:paraId="6E27EA46" w14:textId="77777777" w:rsidR="00B05272" w:rsidRPr="00674960" w:rsidRDefault="00B05272" w:rsidP="00B05272">
      <w:pPr>
        <w:autoSpaceDE w:val="0"/>
        <w:autoSpaceDN w:val="0"/>
        <w:adjustRightInd w:val="0"/>
        <w:spacing w:after="120" w:line="276" w:lineRule="auto"/>
        <w:jc w:val="both"/>
        <w:rPr>
          <w:color w:val="384575"/>
          <w:kern w:val="24"/>
        </w:rPr>
      </w:pPr>
      <w:r w:rsidRPr="00674960">
        <w:rPr>
          <w:color w:val="384575"/>
        </w:rPr>
        <w:t>V závislosti na povaze sporu je advokát povinen posoudit jak Listinu, tak Úmluvu, aby zjistil, které zaručené právo je pro daný případ nejvhodnější,</w:t>
      </w:r>
      <w:r w:rsidR="00460264" w:rsidRPr="00674960">
        <w:rPr>
          <w:color w:val="384575"/>
        </w:rPr>
        <w:t xml:space="preserve"> a </w:t>
      </w:r>
      <w:r w:rsidRPr="00674960">
        <w:rPr>
          <w:color w:val="384575"/>
        </w:rPr>
        <w:t>případně použít oba základní texty tak, jak je vykládá SDEU</w:t>
      </w:r>
      <w:r w:rsidR="00460264" w:rsidRPr="00674960">
        <w:rPr>
          <w:color w:val="384575"/>
        </w:rPr>
        <w:t xml:space="preserve"> i </w:t>
      </w:r>
      <w:r w:rsidRPr="00674960">
        <w:rPr>
          <w:color w:val="384575"/>
        </w:rPr>
        <w:t>ESLP.</w:t>
      </w:r>
    </w:p>
    <w:p w14:paraId="0C53614A" w14:textId="77777777" w:rsidR="00B05272" w:rsidRPr="00674960" w:rsidRDefault="00B05272" w:rsidP="00B05272">
      <w:pPr>
        <w:autoSpaceDE w:val="0"/>
        <w:autoSpaceDN w:val="0"/>
        <w:adjustRightInd w:val="0"/>
        <w:spacing w:after="120" w:line="276" w:lineRule="auto"/>
        <w:jc w:val="both"/>
        <w:rPr>
          <w:color w:val="384575"/>
          <w:kern w:val="24"/>
        </w:rPr>
      </w:pPr>
      <w:r w:rsidRPr="00674960">
        <w:rPr>
          <w:color w:val="384575"/>
        </w:rPr>
        <w:t>Pokud jde</w:t>
      </w:r>
      <w:r w:rsidR="00460264" w:rsidRPr="00674960">
        <w:rPr>
          <w:color w:val="384575"/>
        </w:rPr>
        <w:t xml:space="preserve"> o </w:t>
      </w:r>
      <w:r w:rsidRPr="00674960">
        <w:rPr>
          <w:color w:val="384575"/>
        </w:rPr>
        <w:t xml:space="preserve">vzájemné působení těchto právních nástrojů je třeba odkázat na primární unijní právo. Podle </w:t>
      </w:r>
      <w:r w:rsidR="00460264" w:rsidRPr="00674960">
        <w:rPr>
          <w:color w:val="384575"/>
        </w:rPr>
        <w:t>čl. </w:t>
      </w:r>
      <w:r w:rsidRPr="00674960">
        <w:rPr>
          <w:color w:val="384575"/>
        </w:rPr>
        <w:t>6 odst. 3 SEU jsou práva zakotvená</w:t>
      </w:r>
      <w:r w:rsidR="00460264" w:rsidRPr="00674960">
        <w:rPr>
          <w:color w:val="384575"/>
        </w:rPr>
        <w:t xml:space="preserve"> v </w:t>
      </w:r>
      <w:r w:rsidRPr="00674960">
        <w:rPr>
          <w:color w:val="384575"/>
        </w:rPr>
        <w:t xml:space="preserve">EÚLP součástí obecných zásad unijního práva. Ustanovení </w:t>
      </w:r>
      <w:r w:rsidR="00460264" w:rsidRPr="00674960">
        <w:rPr>
          <w:color w:val="384575"/>
        </w:rPr>
        <w:t>čl. </w:t>
      </w:r>
      <w:r w:rsidRPr="00674960">
        <w:rPr>
          <w:color w:val="384575"/>
        </w:rPr>
        <w:t>52 odst. 3 Listiny nadto uvádí, že práva obsažená</w:t>
      </w:r>
      <w:r w:rsidR="00460264" w:rsidRPr="00674960">
        <w:rPr>
          <w:color w:val="384575"/>
        </w:rPr>
        <w:t xml:space="preserve"> v </w:t>
      </w:r>
      <w:r w:rsidRPr="00674960">
        <w:rPr>
          <w:color w:val="384575"/>
        </w:rPr>
        <w:t>obou právních nástrojích se shodují, pokud jde</w:t>
      </w:r>
      <w:r w:rsidR="00460264" w:rsidRPr="00674960">
        <w:rPr>
          <w:color w:val="384575"/>
        </w:rPr>
        <w:t xml:space="preserve"> o </w:t>
      </w:r>
      <w:r w:rsidRPr="00674960">
        <w:rPr>
          <w:color w:val="384575"/>
        </w:rPr>
        <w:t>jejich „smysl</w:t>
      </w:r>
      <w:r w:rsidR="00460264" w:rsidRPr="00674960">
        <w:rPr>
          <w:color w:val="384575"/>
        </w:rPr>
        <w:t xml:space="preserve"> a </w:t>
      </w:r>
      <w:r w:rsidRPr="00674960">
        <w:rPr>
          <w:color w:val="384575"/>
        </w:rPr>
        <w:t>rozsah“. Toto ustanovení ve skutečnosti uznává, že ochrana poskytovaná EÚLP je minimem, které je třeba</w:t>
      </w:r>
      <w:r w:rsidR="00460264" w:rsidRPr="00674960">
        <w:rPr>
          <w:color w:val="384575"/>
        </w:rPr>
        <w:t xml:space="preserve"> v </w:t>
      </w:r>
      <w:r w:rsidRPr="00674960">
        <w:rPr>
          <w:color w:val="384575"/>
        </w:rPr>
        <w:t>EU dodržovat, neboť zdůrazňuje, že „</w:t>
      </w:r>
      <w:r w:rsidRPr="00674960">
        <w:rPr>
          <w:i/>
          <w:iCs/>
          <w:color w:val="384575"/>
        </w:rPr>
        <w:t>toto ustanovení nebrání tomu, aby právo Unie poskytovalo širší ochranu</w:t>
      </w:r>
      <w:r w:rsidRPr="00674960">
        <w:rPr>
          <w:color w:val="384575"/>
        </w:rPr>
        <w:t>“.</w:t>
      </w:r>
    </w:p>
    <w:p w14:paraId="75C81DAF" w14:textId="77777777" w:rsidR="00B05272" w:rsidRPr="00674960" w:rsidRDefault="00B05272" w:rsidP="00B05272">
      <w:pPr>
        <w:autoSpaceDE w:val="0"/>
        <w:autoSpaceDN w:val="0"/>
        <w:adjustRightInd w:val="0"/>
        <w:spacing w:after="120" w:line="276" w:lineRule="auto"/>
        <w:jc w:val="both"/>
        <w:rPr>
          <w:color w:val="384575"/>
        </w:rPr>
      </w:pPr>
      <w:r w:rsidRPr="00674960">
        <w:rPr>
          <w:color w:val="384575"/>
        </w:rPr>
        <w:t>Jinými slovy, EÚLP představuje minimální standard ochrany, pokud jde</w:t>
      </w:r>
      <w:r w:rsidR="00460264" w:rsidRPr="00674960">
        <w:rPr>
          <w:color w:val="384575"/>
        </w:rPr>
        <w:t xml:space="preserve"> o </w:t>
      </w:r>
      <w:r w:rsidRPr="00674960">
        <w:rPr>
          <w:color w:val="384575"/>
        </w:rPr>
        <w:t>„odpovídající práva“.</w:t>
      </w:r>
      <w:r w:rsidR="00460264" w:rsidRPr="00674960">
        <w:rPr>
          <w:color w:val="384575"/>
        </w:rPr>
        <w:t xml:space="preserve"> V </w:t>
      </w:r>
      <w:r w:rsidRPr="00674960">
        <w:rPr>
          <w:color w:val="384575"/>
        </w:rPr>
        <w:t>souladu</w:t>
      </w:r>
      <w:r w:rsidR="00460264" w:rsidRPr="00674960">
        <w:rPr>
          <w:color w:val="384575"/>
        </w:rPr>
        <w:t xml:space="preserve"> s </w:t>
      </w:r>
      <w:r w:rsidRPr="00674960">
        <w:rPr>
          <w:color w:val="384575"/>
        </w:rPr>
        <w:t>tím musí všechny unijní, jakož</w:t>
      </w:r>
      <w:r w:rsidR="00460264" w:rsidRPr="00674960">
        <w:rPr>
          <w:color w:val="384575"/>
        </w:rPr>
        <w:t xml:space="preserve"> i </w:t>
      </w:r>
      <w:r w:rsidRPr="00674960">
        <w:rPr>
          <w:color w:val="384575"/>
        </w:rPr>
        <w:t>vnitrostátní právní předpisy, které provádějí unijní právo, poskytovat odpovídajícím právům úroveň ochrany, která je</w:t>
      </w:r>
      <w:r w:rsidR="00460264" w:rsidRPr="00674960">
        <w:rPr>
          <w:color w:val="384575"/>
        </w:rPr>
        <w:t xml:space="preserve"> v </w:t>
      </w:r>
      <w:r w:rsidRPr="00674960">
        <w:rPr>
          <w:color w:val="384575"/>
        </w:rPr>
        <w:t>souladu</w:t>
      </w:r>
      <w:r w:rsidR="00460264" w:rsidRPr="00674960">
        <w:rPr>
          <w:color w:val="384575"/>
        </w:rPr>
        <w:t xml:space="preserve"> s </w:t>
      </w:r>
      <w:r w:rsidRPr="00674960">
        <w:rPr>
          <w:color w:val="384575"/>
        </w:rPr>
        <w:t>EÚLP.</w:t>
      </w:r>
    </w:p>
    <w:p w14:paraId="1F5EBD77" w14:textId="77777777" w:rsidR="00F766DC" w:rsidRDefault="00F766DC" w:rsidP="00B05272">
      <w:pPr>
        <w:autoSpaceDE w:val="0"/>
        <w:autoSpaceDN w:val="0"/>
        <w:adjustRightInd w:val="0"/>
        <w:spacing w:after="120" w:line="276" w:lineRule="auto"/>
        <w:jc w:val="both"/>
        <w:rPr>
          <w:kern w:val="24"/>
        </w:rPr>
      </w:pPr>
    </w:p>
    <w:tbl>
      <w:tblPr>
        <w:tblStyle w:val="Taulaambquadrcula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E2F3"/>
        <w:tblLook w:val="04A0" w:firstRow="1" w:lastRow="0" w:firstColumn="1" w:lastColumn="0" w:noHBand="0" w:noVBand="1"/>
      </w:tblPr>
      <w:tblGrid>
        <w:gridCol w:w="8613"/>
      </w:tblGrid>
      <w:tr w:rsidR="00B05272" w:rsidRPr="00B05272" w14:paraId="1B4A2E43" w14:textId="77777777" w:rsidTr="0048041D">
        <w:tc>
          <w:tcPr>
            <w:tcW w:w="8613" w:type="dxa"/>
            <w:shd w:val="clear" w:color="auto" w:fill="D9E2F3"/>
          </w:tcPr>
          <w:p w14:paraId="1927BF8F" w14:textId="538FFBB4" w:rsidR="00B05272" w:rsidRPr="00C40680" w:rsidRDefault="006479F9" w:rsidP="00ED6B1D">
            <w:pPr>
              <w:spacing w:line="276" w:lineRule="auto"/>
              <w:jc w:val="right"/>
              <w:rPr>
                <w:rFonts w:asciiTheme="minorHAnsi" w:hAnsiTheme="minorHAnsi" w:cstheme="minorHAnsi"/>
                <w:b/>
                <w:color w:val="000000" w:themeColor="text1"/>
                <w:sz w:val="20"/>
                <w:szCs w:val="20"/>
              </w:rPr>
            </w:pPr>
            <w:hyperlink r:id="rId29" w:history="1">
              <w:r w:rsidR="00E90BDB" w:rsidRPr="00C40680">
                <w:rPr>
                  <w:rStyle w:val="Hypertextovodkaz"/>
                  <w:rFonts w:asciiTheme="minorHAnsi" w:hAnsiTheme="minorHAnsi"/>
                  <w:b/>
                  <w:color w:val="000000" w:themeColor="text1"/>
                  <w:sz w:val="20"/>
                </w:rPr>
                <w:t>Rozsudek Soudního dvora (Velkého senátu) ze dne 2</w:t>
              </w:r>
              <w:r w:rsidRPr="00C40680">
                <w:rPr>
                  <w:rStyle w:val="Hypertextovodkaz"/>
                  <w:rFonts w:asciiTheme="minorHAnsi" w:hAnsiTheme="minorHAnsi"/>
                  <w:b/>
                  <w:color w:val="000000" w:themeColor="text1"/>
                  <w:sz w:val="20"/>
                </w:rPr>
                <w:t>0</w:t>
              </w:r>
              <w:r w:rsidR="00E90BDB" w:rsidRPr="00C40680">
                <w:rPr>
                  <w:rStyle w:val="Hypertextovodkaz"/>
                  <w:rFonts w:asciiTheme="minorHAnsi" w:hAnsiTheme="minorHAnsi"/>
                  <w:b/>
                  <w:color w:val="000000" w:themeColor="text1"/>
                  <w:sz w:val="20"/>
                </w:rPr>
                <w:t xml:space="preserve">. </w:t>
              </w:r>
              <w:r w:rsidRPr="00C40680">
                <w:rPr>
                  <w:rStyle w:val="Hypertextovodkaz"/>
                  <w:rFonts w:asciiTheme="minorHAnsi" w:hAnsiTheme="minorHAnsi"/>
                  <w:b/>
                  <w:color w:val="000000" w:themeColor="text1"/>
                  <w:sz w:val="20"/>
                </w:rPr>
                <w:t>září</w:t>
              </w:r>
              <w:r w:rsidR="00E90BDB" w:rsidRPr="00C40680">
                <w:rPr>
                  <w:rStyle w:val="Hypertextovodkaz"/>
                  <w:rFonts w:asciiTheme="minorHAnsi" w:hAnsiTheme="minorHAnsi"/>
                  <w:b/>
                  <w:color w:val="000000" w:themeColor="text1"/>
                  <w:sz w:val="20"/>
                </w:rPr>
                <w:t xml:space="preserve"> 2022, </w:t>
              </w:r>
              <w:proofErr w:type="spellStart"/>
              <w:r w:rsidR="00E90BDB" w:rsidRPr="00C40680">
                <w:rPr>
                  <w:rStyle w:val="Hypertextovodkaz"/>
                  <w:rFonts w:asciiTheme="minorHAnsi" w:hAnsiTheme="minorHAnsi"/>
                  <w:b/>
                  <w:i/>
                  <w:iCs/>
                  <w:color w:val="000000" w:themeColor="text1"/>
                  <w:sz w:val="20"/>
                </w:rPr>
                <w:t>Bundesrepublik</w:t>
              </w:r>
              <w:proofErr w:type="spellEnd"/>
              <w:r w:rsidR="00E90BDB" w:rsidRPr="00C40680">
                <w:rPr>
                  <w:rStyle w:val="Hypertextovodkaz"/>
                  <w:rFonts w:asciiTheme="minorHAnsi" w:hAnsiTheme="minorHAnsi"/>
                  <w:b/>
                  <w:i/>
                  <w:iCs/>
                  <w:color w:val="000000" w:themeColor="text1"/>
                  <w:sz w:val="20"/>
                </w:rPr>
                <w:t xml:space="preserve"> </w:t>
              </w:r>
              <w:proofErr w:type="spellStart"/>
              <w:r w:rsidR="00E90BDB" w:rsidRPr="00C40680">
                <w:rPr>
                  <w:rStyle w:val="Hypertextovodkaz"/>
                  <w:rFonts w:asciiTheme="minorHAnsi" w:hAnsiTheme="minorHAnsi"/>
                  <w:b/>
                  <w:i/>
                  <w:iCs/>
                  <w:color w:val="000000" w:themeColor="text1"/>
                  <w:sz w:val="20"/>
                </w:rPr>
                <w:t>Deutschland</w:t>
              </w:r>
              <w:proofErr w:type="spellEnd"/>
              <w:r w:rsidR="00E90BDB" w:rsidRPr="00C40680">
                <w:rPr>
                  <w:rStyle w:val="Hypertextovodkaz"/>
                  <w:rFonts w:asciiTheme="minorHAnsi" w:hAnsiTheme="minorHAnsi"/>
                  <w:b/>
                  <w:i/>
                  <w:iCs/>
                  <w:color w:val="000000" w:themeColor="text1"/>
                  <w:sz w:val="20"/>
                </w:rPr>
                <w:t xml:space="preserve"> v. </w:t>
              </w:r>
              <w:proofErr w:type="spellStart"/>
              <w:r w:rsidR="00E90BDB" w:rsidRPr="00C40680">
                <w:rPr>
                  <w:rStyle w:val="Hypertextovodkaz"/>
                  <w:rFonts w:asciiTheme="minorHAnsi" w:hAnsiTheme="minorHAnsi"/>
                  <w:b/>
                  <w:i/>
                  <w:iCs/>
                  <w:color w:val="000000" w:themeColor="text1"/>
                  <w:sz w:val="20"/>
                </w:rPr>
                <w:t>SpaceNet</w:t>
              </w:r>
              <w:proofErr w:type="spellEnd"/>
              <w:r w:rsidR="00E90BDB" w:rsidRPr="00C40680">
                <w:rPr>
                  <w:rStyle w:val="Hypertextovodkaz"/>
                  <w:rFonts w:asciiTheme="minorHAnsi" w:hAnsiTheme="minorHAnsi"/>
                  <w:b/>
                  <w:i/>
                  <w:iCs/>
                  <w:color w:val="000000" w:themeColor="text1"/>
                  <w:sz w:val="20"/>
                </w:rPr>
                <w:t xml:space="preserve"> AG, Telekom </w:t>
              </w:r>
              <w:proofErr w:type="spellStart"/>
              <w:r w:rsidR="00E90BDB" w:rsidRPr="00C40680">
                <w:rPr>
                  <w:rStyle w:val="Hypertextovodkaz"/>
                  <w:rFonts w:asciiTheme="minorHAnsi" w:hAnsiTheme="minorHAnsi"/>
                  <w:b/>
                  <w:i/>
                  <w:iCs/>
                  <w:color w:val="000000" w:themeColor="text1"/>
                  <w:sz w:val="20"/>
                </w:rPr>
                <w:t>Deutschland</w:t>
              </w:r>
              <w:proofErr w:type="spellEnd"/>
              <w:r w:rsidR="00E90BDB" w:rsidRPr="00C40680">
                <w:rPr>
                  <w:rStyle w:val="Hypertextovodkaz"/>
                  <w:rFonts w:asciiTheme="minorHAnsi" w:hAnsiTheme="minorHAnsi"/>
                  <w:b/>
                  <w:i/>
                  <w:iCs/>
                  <w:color w:val="000000" w:themeColor="text1"/>
                  <w:sz w:val="20"/>
                </w:rPr>
                <w:t xml:space="preserve"> </w:t>
              </w:r>
              <w:proofErr w:type="spellStart"/>
              <w:r w:rsidR="00E90BDB" w:rsidRPr="00C40680">
                <w:rPr>
                  <w:rStyle w:val="Hypertextovodkaz"/>
                  <w:rFonts w:asciiTheme="minorHAnsi" w:hAnsiTheme="minorHAnsi"/>
                  <w:b/>
                  <w:i/>
                  <w:iCs/>
                  <w:color w:val="000000" w:themeColor="text1"/>
                  <w:sz w:val="20"/>
                </w:rPr>
                <w:t>GmbH</w:t>
              </w:r>
              <w:proofErr w:type="spellEnd"/>
              <w:r w:rsidR="00E90BDB" w:rsidRPr="00C40680">
                <w:rPr>
                  <w:rStyle w:val="Hypertextovodkaz"/>
                  <w:rFonts w:asciiTheme="minorHAnsi" w:hAnsiTheme="minorHAnsi"/>
                  <w:b/>
                  <w:color w:val="000000" w:themeColor="text1"/>
                  <w:sz w:val="20"/>
                </w:rPr>
                <w:t>, C-793/19</w:t>
              </w:r>
              <w:r w:rsidR="00460264" w:rsidRPr="00C40680">
                <w:rPr>
                  <w:rStyle w:val="Hypertextovodkaz"/>
                  <w:rFonts w:asciiTheme="minorHAnsi" w:hAnsiTheme="minorHAnsi"/>
                  <w:b/>
                  <w:color w:val="000000" w:themeColor="text1"/>
                  <w:sz w:val="20"/>
                </w:rPr>
                <w:t xml:space="preserve"> a </w:t>
              </w:r>
              <w:r w:rsidR="00E90BDB" w:rsidRPr="00C40680">
                <w:rPr>
                  <w:rStyle w:val="Hypertextovodkaz"/>
                  <w:rFonts w:asciiTheme="minorHAnsi" w:hAnsiTheme="minorHAnsi"/>
                  <w:b/>
                  <w:color w:val="000000" w:themeColor="text1"/>
                  <w:sz w:val="20"/>
                </w:rPr>
                <w:t>C-749/19, ECLI:EU: C:2022:702</w:t>
              </w:r>
            </w:hyperlink>
          </w:p>
          <w:p w14:paraId="24EC8387" w14:textId="77777777" w:rsidR="00ED6B1D" w:rsidRPr="007D56D6" w:rsidRDefault="00ED6B1D" w:rsidP="00ED6B1D">
            <w:pPr>
              <w:spacing w:line="276" w:lineRule="auto"/>
              <w:jc w:val="right"/>
              <w:rPr>
                <w:rFonts w:asciiTheme="minorHAnsi" w:hAnsiTheme="minorHAnsi" w:cstheme="minorHAnsi"/>
                <w:kern w:val="2"/>
                <w:sz w:val="20"/>
                <w:szCs w:val="20"/>
                <w:lang w:eastAsia="ca-ES"/>
              </w:rPr>
            </w:pPr>
          </w:p>
          <w:p w14:paraId="207E9CD3" w14:textId="77777777" w:rsidR="00B05272" w:rsidRPr="00B05272" w:rsidRDefault="00B05272">
            <w:pPr>
              <w:spacing w:line="276" w:lineRule="auto"/>
              <w:jc w:val="both"/>
              <w:rPr>
                <w:rFonts w:asciiTheme="minorHAnsi" w:hAnsiTheme="minorHAnsi" w:cstheme="minorHAnsi"/>
                <w:sz w:val="20"/>
                <w:szCs w:val="20"/>
              </w:rPr>
            </w:pPr>
            <w:r>
              <w:rPr>
                <w:rFonts w:asciiTheme="minorHAnsi" w:hAnsiTheme="minorHAnsi"/>
                <w:sz w:val="20"/>
              </w:rPr>
              <w:t xml:space="preserve">Tato věc se týká výkladu </w:t>
            </w:r>
            <w:r w:rsidR="00460264">
              <w:rPr>
                <w:rFonts w:asciiTheme="minorHAnsi" w:hAnsiTheme="minorHAnsi"/>
                <w:sz w:val="20"/>
              </w:rPr>
              <w:t>čl. </w:t>
            </w:r>
            <w:r>
              <w:rPr>
                <w:rFonts w:asciiTheme="minorHAnsi" w:hAnsiTheme="minorHAnsi"/>
                <w:sz w:val="20"/>
              </w:rPr>
              <w:t>15 odst. 1 směrnice 2002/58/ES</w:t>
            </w:r>
            <w:r w:rsidR="00460264">
              <w:rPr>
                <w:rFonts w:asciiTheme="minorHAnsi" w:hAnsiTheme="minorHAnsi"/>
                <w:sz w:val="20"/>
              </w:rPr>
              <w:t xml:space="preserve"> o </w:t>
            </w:r>
            <w:r>
              <w:rPr>
                <w:rFonts w:asciiTheme="minorHAnsi" w:hAnsiTheme="minorHAnsi"/>
                <w:sz w:val="20"/>
              </w:rPr>
              <w:t>povinnosti uložené společnostem</w:t>
            </w:r>
            <w:r w:rsidR="00460264">
              <w:rPr>
                <w:rFonts w:asciiTheme="minorHAnsi" w:hAnsiTheme="minorHAnsi"/>
                <w:sz w:val="20"/>
              </w:rPr>
              <w:t xml:space="preserve"> v </w:t>
            </w:r>
            <w:r>
              <w:rPr>
                <w:rFonts w:asciiTheme="minorHAnsi" w:hAnsiTheme="minorHAnsi"/>
                <w:sz w:val="20"/>
              </w:rPr>
              <w:t>elektronickém odvětví uchovávat provozní</w:t>
            </w:r>
            <w:r w:rsidR="00460264">
              <w:rPr>
                <w:rFonts w:asciiTheme="minorHAnsi" w:hAnsiTheme="minorHAnsi"/>
                <w:sz w:val="20"/>
              </w:rPr>
              <w:t xml:space="preserve"> a </w:t>
            </w:r>
            <w:r>
              <w:rPr>
                <w:rFonts w:asciiTheme="minorHAnsi" w:hAnsiTheme="minorHAnsi"/>
                <w:sz w:val="20"/>
              </w:rPr>
              <w:t>lokalizační údaje týkající se telekomunikací jejich zákazníků</w:t>
            </w:r>
            <w:r w:rsidR="00460264">
              <w:rPr>
                <w:rFonts w:asciiTheme="minorHAnsi" w:hAnsiTheme="minorHAnsi"/>
                <w:sz w:val="20"/>
              </w:rPr>
              <w:t xml:space="preserve"> a </w:t>
            </w:r>
            <w:r>
              <w:rPr>
                <w:rFonts w:asciiTheme="minorHAnsi" w:hAnsiTheme="minorHAnsi"/>
                <w:sz w:val="20"/>
              </w:rPr>
              <w:t>o ochraně</w:t>
            </w:r>
            <w:r w:rsidR="00460264">
              <w:rPr>
                <w:rFonts w:asciiTheme="minorHAnsi" w:hAnsiTheme="minorHAnsi"/>
                <w:sz w:val="20"/>
              </w:rPr>
              <w:t xml:space="preserve"> s </w:t>
            </w:r>
            <w:r>
              <w:rPr>
                <w:rFonts w:asciiTheme="minorHAnsi" w:hAnsiTheme="minorHAnsi"/>
                <w:sz w:val="20"/>
              </w:rPr>
              <w:t>ohledem na Listinu základních práv Evropské unie.</w:t>
            </w:r>
          </w:p>
          <w:p w14:paraId="345308C5" w14:textId="77777777" w:rsidR="00B05272" w:rsidRPr="007D56D6" w:rsidRDefault="00B05272">
            <w:pPr>
              <w:spacing w:line="276" w:lineRule="auto"/>
              <w:jc w:val="both"/>
              <w:rPr>
                <w:rFonts w:asciiTheme="minorHAnsi" w:hAnsiTheme="minorHAnsi" w:cstheme="minorHAnsi"/>
                <w:sz w:val="20"/>
                <w:szCs w:val="20"/>
                <w:lang w:eastAsia="ca-ES"/>
              </w:rPr>
            </w:pPr>
          </w:p>
          <w:p w14:paraId="7084374B" w14:textId="77777777" w:rsidR="00B05272" w:rsidRPr="00B05272" w:rsidRDefault="00B05272">
            <w:pPr>
              <w:spacing w:line="276" w:lineRule="auto"/>
              <w:jc w:val="both"/>
              <w:rPr>
                <w:rFonts w:asciiTheme="minorHAnsi" w:hAnsiTheme="minorHAnsi" w:cstheme="minorHAnsi"/>
                <w:i/>
                <w:sz w:val="20"/>
                <w:szCs w:val="20"/>
              </w:rPr>
            </w:pPr>
            <w:r>
              <w:rPr>
                <w:rFonts w:asciiTheme="minorHAnsi" w:hAnsiTheme="minorHAnsi"/>
                <w:i/>
                <w:sz w:val="20"/>
              </w:rPr>
              <w:t>„125. Kromě toho se</w:t>
            </w:r>
            <w:r w:rsidR="00460264">
              <w:rPr>
                <w:rFonts w:asciiTheme="minorHAnsi" w:hAnsiTheme="minorHAnsi"/>
                <w:i/>
                <w:sz w:val="20"/>
              </w:rPr>
              <w:t xml:space="preserve"> v </w:t>
            </w:r>
            <w:r>
              <w:rPr>
                <w:rFonts w:asciiTheme="minorHAnsi" w:hAnsiTheme="minorHAnsi"/>
                <w:i/>
                <w:sz w:val="20"/>
              </w:rPr>
              <w:t xml:space="preserve">rozsudcích Evropského soudu pro lidská práva ze dne 25. května 2021, Big </w:t>
            </w:r>
            <w:r>
              <w:rPr>
                <w:rFonts w:asciiTheme="minorHAnsi" w:hAnsiTheme="minorHAnsi"/>
                <w:i/>
                <w:sz w:val="20"/>
              </w:rPr>
              <w:lastRenderedPageBreak/>
              <w:t xml:space="preserve">Brother </w:t>
            </w:r>
            <w:proofErr w:type="spellStart"/>
            <w:r>
              <w:rPr>
                <w:rFonts w:asciiTheme="minorHAnsi" w:hAnsiTheme="minorHAnsi"/>
                <w:i/>
                <w:sz w:val="20"/>
              </w:rPr>
              <w:t>Watch</w:t>
            </w:r>
            <w:proofErr w:type="spellEnd"/>
            <w:r w:rsidR="00460264">
              <w:rPr>
                <w:rFonts w:asciiTheme="minorHAnsi" w:hAnsiTheme="minorHAnsi"/>
                <w:i/>
                <w:sz w:val="20"/>
              </w:rPr>
              <w:t xml:space="preserve"> a </w:t>
            </w:r>
            <w:r>
              <w:rPr>
                <w:rFonts w:asciiTheme="minorHAnsi" w:hAnsiTheme="minorHAnsi"/>
                <w:i/>
                <w:sz w:val="20"/>
              </w:rPr>
              <w:t>další v. Spojené království,</w:t>
            </w:r>
            <w:r w:rsidR="00460264">
              <w:rPr>
                <w:rFonts w:asciiTheme="minorHAnsi" w:hAnsiTheme="minorHAnsi"/>
                <w:i/>
                <w:sz w:val="20"/>
              </w:rPr>
              <w:t xml:space="preserve"> a </w:t>
            </w:r>
            <w:r>
              <w:rPr>
                <w:rFonts w:asciiTheme="minorHAnsi" w:hAnsiTheme="minorHAnsi"/>
                <w:i/>
                <w:sz w:val="20"/>
              </w:rPr>
              <w:t xml:space="preserve">ze dne 25. května 2021, Centrum </w:t>
            </w:r>
            <w:proofErr w:type="spellStart"/>
            <w:r>
              <w:rPr>
                <w:rFonts w:asciiTheme="minorHAnsi" w:hAnsiTheme="minorHAnsi"/>
                <w:i/>
                <w:sz w:val="20"/>
              </w:rPr>
              <w:t>för</w:t>
            </w:r>
            <w:proofErr w:type="spellEnd"/>
            <w:r>
              <w:rPr>
                <w:rFonts w:asciiTheme="minorHAnsi" w:hAnsiTheme="minorHAnsi"/>
                <w:i/>
                <w:sz w:val="20"/>
              </w:rPr>
              <w:t xml:space="preserve"> </w:t>
            </w:r>
            <w:proofErr w:type="spellStart"/>
            <w:r>
              <w:rPr>
                <w:rFonts w:asciiTheme="minorHAnsi" w:hAnsiTheme="minorHAnsi"/>
                <w:i/>
                <w:sz w:val="20"/>
              </w:rPr>
              <w:t>Rättvisa</w:t>
            </w:r>
            <w:proofErr w:type="spellEnd"/>
            <w:r>
              <w:rPr>
                <w:rFonts w:asciiTheme="minorHAnsi" w:hAnsiTheme="minorHAnsi"/>
                <w:i/>
                <w:sz w:val="20"/>
              </w:rPr>
              <w:t xml:space="preserve"> v. Švédsko jednalo</w:t>
            </w:r>
            <w:r w:rsidR="00460264">
              <w:rPr>
                <w:rFonts w:asciiTheme="minorHAnsi" w:hAnsiTheme="minorHAnsi"/>
                <w:i/>
                <w:sz w:val="20"/>
              </w:rPr>
              <w:t xml:space="preserve"> o </w:t>
            </w:r>
            <w:r>
              <w:rPr>
                <w:rFonts w:asciiTheme="minorHAnsi" w:hAnsiTheme="minorHAnsi"/>
                <w:i/>
                <w:sz w:val="20"/>
              </w:rPr>
              <w:t>hromadné zachycování údajů souvisejících</w:t>
            </w:r>
            <w:r w:rsidR="00460264">
              <w:rPr>
                <w:rFonts w:asciiTheme="minorHAnsi" w:hAnsiTheme="minorHAnsi"/>
                <w:i/>
                <w:sz w:val="20"/>
              </w:rPr>
              <w:t xml:space="preserve"> s </w:t>
            </w:r>
            <w:r>
              <w:rPr>
                <w:rFonts w:asciiTheme="minorHAnsi" w:hAnsiTheme="minorHAnsi"/>
                <w:i/>
                <w:sz w:val="20"/>
              </w:rPr>
              <w:t>mezinárodními komunikacemi. Jak uvedla Komise na jednání, Evropský soud pro lidská práva se tak</w:t>
            </w:r>
            <w:r w:rsidR="00460264">
              <w:rPr>
                <w:rFonts w:asciiTheme="minorHAnsi" w:hAnsiTheme="minorHAnsi"/>
                <w:i/>
                <w:sz w:val="20"/>
              </w:rPr>
              <w:t xml:space="preserve"> v </w:t>
            </w:r>
            <w:r>
              <w:rPr>
                <w:rFonts w:asciiTheme="minorHAnsi" w:hAnsiTheme="minorHAnsi"/>
                <w:i/>
                <w:sz w:val="20"/>
              </w:rPr>
              <w:t>uvedených rozsudcích nevyjádřil</w:t>
            </w:r>
            <w:r w:rsidR="00460264">
              <w:rPr>
                <w:rFonts w:asciiTheme="minorHAnsi" w:hAnsiTheme="minorHAnsi"/>
                <w:i/>
                <w:sz w:val="20"/>
              </w:rPr>
              <w:t xml:space="preserve"> k </w:t>
            </w:r>
            <w:r>
              <w:rPr>
                <w:rFonts w:asciiTheme="minorHAnsi" w:hAnsiTheme="minorHAnsi"/>
                <w:i/>
                <w:sz w:val="20"/>
              </w:rPr>
              <w:t>souladu plošného</w:t>
            </w:r>
            <w:r w:rsidR="00460264">
              <w:rPr>
                <w:rFonts w:asciiTheme="minorHAnsi" w:hAnsiTheme="minorHAnsi"/>
                <w:i/>
                <w:sz w:val="20"/>
              </w:rPr>
              <w:t xml:space="preserve"> a </w:t>
            </w:r>
            <w:r>
              <w:rPr>
                <w:rFonts w:asciiTheme="minorHAnsi" w:hAnsiTheme="minorHAnsi"/>
                <w:i/>
                <w:sz w:val="20"/>
              </w:rPr>
              <w:t>nerozlišujícího uchovávání provozních</w:t>
            </w:r>
            <w:r w:rsidR="00460264">
              <w:rPr>
                <w:rFonts w:asciiTheme="minorHAnsi" w:hAnsiTheme="minorHAnsi"/>
                <w:i/>
                <w:sz w:val="20"/>
              </w:rPr>
              <w:t xml:space="preserve"> a </w:t>
            </w:r>
            <w:r>
              <w:rPr>
                <w:rFonts w:asciiTheme="minorHAnsi" w:hAnsiTheme="minorHAnsi"/>
                <w:i/>
                <w:sz w:val="20"/>
              </w:rPr>
              <w:t>lokalizačních údajů na vnitrostátním území či rozsáhlého zachycování těchto údajů pro účely prevence, odhalování</w:t>
            </w:r>
            <w:r w:rsidR="00460264">
              <w:rPr>
                <w:rFonts w:asciiTheme="minorHAnsi" w:hAnsiTheme="minorHAnsi"/>
                <w:i/>
                <w:sz w:val="20"/>
              </w:rPr>
              <w:t xml:space="preserve"> a </w:t>
            </w:r>
            <w:r>
              <w:rPr>
                <w:rFonts w:asciiTheme="minorHAnsi" w:hAnsiTheme="minorHAnsi"/>
                <w:i/>
                <w:sz w:val="20"/>
              </w:rPr>
              <w:t>vyšetřování závažných trestných činů</w:t>
            </w:r>
            <w:r w:rsidR="00460264">
              <w:rPr>
                <w:rFonts w:asciiTheme="minorHAnsi" w:hAnsiTheme="minorHAnsi"/>
                <w:i/>
                <w:sz w:val="20"/>
              </w:rPr>
              <w:t xml:space="preserve"> s </w:t>
            </w:r>
            <w:r>
              <w:rPr>
                <w:rFonts w:asciiTheme="minorHAnsi" w:hAnsiTheme="minorHAnsi"/>
                <w:i/>
                <w:sz w:val="20"/>
              </w:rPr>
              <w:t>EÚLP.</w:t>
            </w:r>
            <w:r w:rsidR="00460264">
              <w:rPr>
                <w:rFonts w:asciiTheme="minorHAnsi" w:hAnsiTheme="minorHAnsi"/>
                <w:i/>
                <w:sz w:val="20"/>
              </w:rPr>
              <w:t xml:space="preserve"> V </w:t>
            </w:r>
            <w:r>
              <w:rPr>
                <w:rFonts w:asciiTheme="minorHAnsi" w:hAnsiTheme="minorHAnsi"/>
                <w:i/>
                <w:sz w:val="20"/>
              </w:rPr>
              <w:t xml:space="preserve">každém případě je třeba připomenout, že cílem </w:t>
            </w:r>
            <w:r w:rsidR="00460264">
              <w:rPr>
                <w:rFonts w:asciiTheme="minorHAnsi" w:hAnsiTheme="minorHAnsi"/>
                <w:i/>
                <w:sz w:val="20"/>
              </w:rPr>
              <w:t>čl. </w:t>
            </w:r>
            <w:r>
              <w:rPr>
                <w:rFonts w:asciiTheme="minorHAnsi" w:hAnsiTheme="minorHAnsi"/>
                <w:i/>
                <w:sz w:val="20"/>
              </w:rPr>
              <w:t>52 odst. 3 Listiny je zajistit nezbytný soulad mezi právy obsaženými</w:t>
            </w:r>
            <w:r w:rsidR="00460264">
              <w:rPr>
                <w:rFonts w:asciiTheme="minorHAnsi" w:hAnsiTheme="minorHAnsi"/>
                <w:i/>
                <w:sz w:val="20"/>
              </w:rPr>
              <w:t xml:space="preserve"> v </w:t>
            </w:r>
            <w:r>
              <w:rPr>
                <w:rFonts w:asciiTheme="minorHAnsi" w:hAnsiTheme="minorHAnsi"/>
                <w:i/>
                <w:sz w:val="20"/>
              </w:rPr>
              <w:t>Listině</w:t>
            </w:r>
            <w:r w:rsidR="00460264">
              <w:rPr>
                <w:rFonts w:asciiTheme="minorHAnsi" w:hAnsiTheme="minorHAnsi"/>
                <w:i/>
                <w:sz w:val="20"/>
              </w:rPr>
              <w:t xml:space="preserve"> a </w:t>
            </w:r>
            <w:r>
              <w:rPr>
                <w:rFonts w:asciiTheme="minorHAnsi" w:hAnsiTheme="minorHAnsi"/>
                <w:i/>
                <w:sz w:val="20"/>
              </w:rPr>
              <w:t>odpovídajícími právy zaručenými EÚLP, aniž je narušena autonomie unijního práva</w:t>
            </w:r>
            <w:r w:rsidR="00460264">
              <w:rPr>
                <w:rFonts w:asciiTheme="minorHAnsi" w:hAnsiTheme="minorHAnsi"/>
                <w:i/>
                <w:sz w:val="20"/>
              </w:rPr>
              <w:t xml:space="preserve"> a </w:t>
            </w:r>
            <w:r>
              <w:rPr>
                <w:rFonts w:asciiTheme="minorHAnsi" w:hAnsiTheme="minorHAnsi"/>
                <w:i/>
                <w:sz w:val="20"/>
              </w:rPr>
              <w:t>Soudního dvora Evropské unie, takže je pro účely výkladu Listiny třeba zohlednit odpovídající práva zaručená EÚLP pouze jakožto minimální úroveň ochrany.“</w:t>
            </w:r>
          </w:p>
        </w:tc>
      </w:tr>
    </w:tbl>
    <w:p w14:paraId="07DD771E" w14:textId="77777777" w:rsidR="00B05272" w:rsidRPr="007D56D6" w:rsidRDefault="00B05272" w:rsidP="00B05272">
      <w:pPr>
        <w:spacing w:line="276" w:lineRule="auto"/>
        <w:jc w:val="both"/>
        <w:rPr>
          <w:rFonts w:asciiTheme="minorHAnsi" w:hAnsiTheme="minorHAnsi" w:cs="Calibri"/>
          <w:sz w:val="22"/>
          <w:szCs w:val="22"/>
          <w:lang w:eastAsia="en-US"/>
        </w:rPr>
      </w:pPr>
    </w:p>
    <w:p w14:paraId="562F64E8" w14:textId="77777777" w:rsidR="00B05272" w:rsidRPr="00674960" w:rsidRDefault="00B05272" w:rsidP="00B05272">
      <w:pPr>
        <w:autoSpaceDE w:val="0"/>
        <w:autoSpaceDN w:val="0"/>
        <w:adjustRightInd w:val="0"/>
        <w:spacing w:after="120" w:line="276" w:lineRule="auto"/>
        <w:jc w:val="both"/>
        <w:rPr>
          <w:color w:val="384575"/>
          <w:kern w:val="24"/>
        </w:rPr>
      </w:pPr>
      <w:r w:rsidRPr="00674960">
        <w:rPr>
          <w:color w:val="384575"/>
        </w:rPr>
        <w:t>Rozsah</w:t>
      </w:r>
      <w:r w:rsidR="00460264" w:rsidRPr="00674960">
        <w:rPr>
          <w:color w:val="384575"/>
        </w:rPr>
        <w:t xml:space="preserve"> a </w:t>
      </w:r>
      <w:r w:rsidRPr="00674960">
        <w:rPr>
          <w:color w:val="384575"/>
        </w:rPr>
        <w:t>smysl odpovídajících práv je třeba určit</w:t>
      </w:r>
      <w:r w:rsidR="00460264" w:rsidRPr="00674960">
        <w:rPr>
          <w:color w:val="384575"/>
        </w:rPr>
        <w:t xml:space="preserve"> s </w:t>
      </w:r>
      <w:r w:rsidRPr="00674960">
        <w:rPr>
          <w:color w:val="384575"/>
        </w:rPr>
        <w:t>ohledem na znění EÚLP</w:t>
      </w:r>
      <w:r w:rsidR="00460264" w:rsidRPr="00674960">
        <w:rPr>
          <w:color w:val="384575"/>
        </w:rPr>
        <w:t xml:space="preserve"> a </w:t>
      </w:r>
      <w:r w:rsidRPr="00674960">
        <w:rPr>
          <w:color w:val="384575"/>
        </w:rPr>
        <w:t>jejích protokolů tak, jak je vykládá ESLP. To znamená, že odpovídající práva</w:t>
      </w:r>
      <w:r w:rsidR="00460264" w:rsidRPr="00674960">
        <w:rPr>
          <w:color w:val="384575"/>
        </w:rPr>
        <w:t xml:space="preserve"> v </w:t>
      </w:r>
      <w:r w:rsidRPr="00674960">
        <w:rPr>
          <w:color w:val="384575"/>
        </w:rPr>
        <w:t>EÚLP zahrnují omezení, musí být tudíž respektována</w:t>
      </w:r>
      <w:r w:rsidR="00460264" w:rsidRPr="00674960">
        <w:rPr>
          <w:color w:val="384575"/>
        </w:rPr>
        <w:t xml:space="preserve"> i </w:t>
      </w:r>
      <w:r w:rsidRPr="00674960">
        <w:rPr>
          <w:color w:val="384575"/>
        </w:rPr>
        <w:t>při výkladu Listiny.</w:t>
      </w:r>
      <w:r w:rsidR="00460264" w:rsidRPr="00674960">
        <w:rPr>
          <w:color w:val="384575"/>
        </w:rPr>
        <w:t xml:space="preserve"> A </w:t>
      </w:r>
      <w:r w:rsidRPr="00674960">
        <w:rPr>
          <w:color w:val="384575"/>
        </w:rPr>
        <w:t>také to, že pokud neexistují omezení práv podle EÚLP, nemohou existovat ani omezení těchto práv podle Listiny.</w:t>
      </w:r>
    </w:p>
    <w:p w14:paraId="733EFC28" w14:textId="77777777" w:rsidR="00DC593F" w:rsidRDefault="00DC593F" w:rsidP="00DC593F">
      <w:pPr>
        <w:autoSpaceDE w:val="0"/>
        <w:autoSpaceDN w:val="0"/>
        <w:adjustRightInd w:val="0"/>
        <w:spacing w:after="120" w:line="276" w:lineRule="auto"/>
        <w:jc w:val="both"/>
        <w:rPr>
          <w:color w:val="384575"/>
        </w:rPr>
      </w:pPr>
      <w:r w:rsidRPr="00674960">
        <w:rPr>
          <w:color w:val="384575"/>
        </w:rPr>
        <w:t>Vzájemné působení mezi Listinou</w:t>
      </w:r>
      <w:r w:rsidR="00460264" w:rsidRPr="00674960">
        <w:rPr>
          <w:color w:val="384575"/>
        </w:rPr>
        <w:t xml:space="preserve"> a </w:t>
      </w:r>
      <w:r w:rsidRPr="00674960">
        <w:rPr>
          <w:color w:val="384575"/>
        </w:rPr>
        <w:t>EÚLP má pozitivní účinky pro oba systémy, pokud jde</w:t>
      </w:r>
      <w:r w:rsidR="00460264" w:rsidRPr="00674960">
        <w:rPr>
          <w:color w:val="384575"/>
        </w:rPr>
        <w:t xml:space="preserve"> o </w:t>
      </w:r>
      <w:r w:rsidRPr="00674960">
        <w:rPr>
          <w:color w:val="384575"/>
        </w:rPr>
        <w:t>rozsah</w:t>
      </w:r>
      <w:r w:rsidR="00460264" w:rsidRPr="00674960">
        <w:rPr>
          <w:color w:val="384575"/>
        </w:rPr>
        <w:t xml:space="preserve"> a </w:t>
      </w:r>
      <w:r w:rsidRPr="00674960">
        <w:rPr>
          <w:color w:val="384575"/>
        </w:rPr>
        <w:t>výklad práv</w:t>
      </w:r>
      <w:r w:rsidR="00460264" w:rsidRPr="00674960">
        <w:rPr>
          <w:color w:val="384575"/>
        </w:rPr>
        <w:t xml:space="preserve"> a </w:t>
      </w:r>
      <w:r w:rsidRPr="00674960">
        <w:rPr>
          <w:color w:val="384575"/>
        </w:rPr>
        <w:t>zásad.</w:t>
      </w:r>
      <w:r w:rsidR="00460264" w:rsidRPr="00674960">
        <w:rPr>
          <w:color w:val="384575"/>
        </w:rPr>
        <w:t xml:space="preserve"> V </w:t>
      </w:r>
      <w:r w:rsidRPr="00674960">
        <w:rPr>
          <w:color w:val="384575"/>
        </w:rPr>
        <w:t>současné fázi lze práva upravené Listinou, které odpovídají právům EÚLP se stejným smyslem</w:t>
      </w:r>
      <w:r w:rsidR="00460264" w:rsidRPr="00674960">
        <w:rPr>
          <w:color w:val="384575"/>
        </w:rPr>
        <w:t xml:space="preserve"> a </w:t>
      </w:r>
      <w:r w:rsidRPr="00674960">
        <w:rPr>
          <w:color w:val="384575"/>
        </w:rPr>
        <w:t>rozsahem shrnout</w:t>
      </w:r>
      <w:r w:rsidR="00460264" w:rsidRPr="00674960">
        <w:rPr>
          <w:color w:val="384575"/>
        </w:rPr>
        <w:t xml:space="preserve"> v </w:t>
      </w:r>
      <w:r w:rsidRPr="00674960">
        <w:rPr>
          <w:color w:val="384575"/>
        </w:rPr>
        <w:t>následující tabulce:</w:t>
      </w:r>
    </w:p>
    <w:p w14:paraId="1BF26C3A" w14:textId="77777777" w:rsidR="00862391" w:rsidRPr="00674960" w:rsidRDefault="00862391" w:rsidP="00DC593F">
      <w:pPr>
        <w:autoSpaceDE w:val="0"/>
        <w:autoSpaceDN w:val="0"/>
        <w:adjustRightInd w:val="0"/>
        <w:spacing w:after="120" w:line="276" w:lineRule="auto"/>
        <w:jc w:val="both"/>
        <w:rPr>
          <w:color w:val="384575"/>
          <w:kern w:val="24"/>
        </w:rPr>
      </w:pPr>
    </w:p>
    <w:tbl>
      <w:tblPr>
        <w:tblStyle w:val="Mkatabulky"/>
        <w:tblW w:w="7654" w:type="dxa"/>
        <w:jc w:val="center"/>
        <w:tblLook w:val="04A0" w:firstRow="1" w:lastRow="0" w:firstColumn="1" w:lastColumn="0" w:noHBand="0" w:noVBand="1"/>
      </w:tblPr>
      <w:tblGrid>
        <w:gridCol w:w="3115"/>
        <w:gridCol w:w="2269"/>
        <w:gridCol w:w="2270"/>
      </w:tblGrid>
      <w:tr w:rsidR="007C10F0" w14:paraId="3DB32E74" w14:textId="77777777" w:rsidTr="0048041D">
        <w:trPr>
          <w:jc w:val="center"/>
        </w:trPr>
        <w:tc>
          <w:tcPr>
            <w:tcW w:w="3115" w:type="dxa"/>
            <w:tcBorders>
              <w:top w:val="nil"/>
              <w:left w:val="nil"/>
            </w:tcBorders>
          </w:tcPr>
          <w:p w14:paraId="525C8F9A" w14:textId="77777777" w:rsidR="007C10F0" w:rsidRPr="007D56D6" w:rsidRDefault="007C10F0" w:rsidP="00784097">
            <w:pPr>
              <w:autoSpaceDE w:val="0"/>
              <w:autoSpaceDN w:val="0"/>
              <w:adjustRightInd w:val="0"/>
              <w:spacing w:after="120" w:line="276" w:lineRule="auto"/>
              <w:jc w:val="both"/>
              <w:rPr>
                <w:rFonts w:asciiTheme="minorHAnsi" w:hAnsiTheme="minorHAnsi" w:cstheme="minorHAnsi"/>
                <w:kern w:val="24"/>
              </w:rPr>
            </w:pPr>
          </w:p>
        </w:tc>
        <w:tc>
          <w:tcPr>
            <w:tcW w:w="2269" w:type="dxa"/>
            <w:shd w:val="clear" w:color="auto" w:fill="B4C6E7" w:themeFill="accent1" w:themeFillTint="66"/>
          </w:tcPr>
          <w:p w14:paraId="43FDF790" w14:textId="77777777" w:rsidR="007C10F0" w:rsidRDefault="007C10F0" w:rsidP="00784097">
            <w:pPr>
              <w:autoSpaceDE w:val="0"/>
              <w:autoSpaceDN w:val="0"/>
              <w:adjustRightInd w:val="0"/>
              <w:spacing w:after="120" w:line="276" w:lineRule="auto"/>
              <w:jc w:val="both"/>
              <w:rPr>
                <w:kern w:val="24"/>
              </w:rPr>
            </w:pPr>
            <w:r>
              <w:rPr>
                <w:rFonts w:asciiTheme="minorHAnsi" w:hAnsiTheme="minorHAnsi"/>
                <w:b/>
                <w:i/>
              </w:rPr>
              <w:t>Listina</w:t>
            </w:r>
          </w:p>
        </w:tc>
        <w:tc>
          <w:tcPr>
            <w:tcW w:w="2270" w:type="dxa"/>
            <w:shd w:val="clear" w:color="auto" w:fill="B4C6E7" w:themeFill="accent1" w:themeFillTint="66"/>
          </w:tcPr>
          <w:p w14:paraId="010F2961" w14:textId="77777777" w:rsidR="007C10F0" w:rsidRDefault="007C10F0" w:rsidP="00784097">
            <w:pPr>
              <w:autoSpaceDE w:val="0"/>
              <w:autoSpaceDN w:val="0"/>
              <w:adjustRightInd w:val="0"/>
              <w:spacing w:after="120" w:line="276" w:lineRule="auto"/>
              <w:jc w:val="both"/>
              <w:rPr>
                <w:kern w:val="24"/>
              </w:rPr>
            </w:pPr>
            <w:r>
              <w:rPr>
                <w:rFonts w:asciiTheme="minorHAnsi" w:hAnsiTheme="minorHAnsi"/>
                <w:b/>
                <w:i/>
              </w:rPr>
              <w:t>EÚLP</w:t>
            </w:r>
          </w:p>
        </w:tc>
      </w:tr>
      <w:tr w:rsidR="007C10F0" w14:paraId="1B67C42E" w14:textId="77777777" w:rsidTr="0048041D">
        <w:trPr>
          <w:jc w:val="center"/>
        </w:trPr>
        <w:tc>
          <w:tcPr>
            <w:tcW w:w="3115" w:type="dxa"/>
          </w:tcPr>
          <w:p w14:paraId="1E09E52C" w14:textId="77777777" w:rsidR="007C10F0" w:rsidRPr="00674960" w:rsidRDefault="007C10F0" w:rsidP="00784097">
            <w:pPr>
              <w:autoSpaceDE w:val="0"/>
              <w:autoSpaceDN w:val="0"/>
              <w:adjustRightInd w:val="0"/>
              <w:spacing w:after="120" w:line="276" w:lineRule="auto"/>
              <w:jc w:val="both"/>
              <w:rPr>
                <w:rFonts w:asciiTheme="minorHAnsi" w:hAnsiTheme="minorHAnsi" w:cstheme="minorHAnsi"/>
                <w:color w:val="000000" w:themeColor="text1"/>
                <w:kern w:val="24"/>
              </w:rPr>
            </w:pPr>
            <w:r w:rsidRPr="00674960">
              <w:rPr>
                <w:rFonts w:asciiTheme="minorHAnsi" w:hAnsiTheme="minorHAnsi"/>
                <w:color w:val="000000" w:themeColor="text1"/>
              </w:rPr>
              <w:t>Právo na život</w:t>
            </w:r>
          </w:p>
        </w:tc>
        <w:tc>
          <w:tcPr>
            <w:tcW w:w="2269" w:type="dxa"/>
          </w:tcPr>
          <w:p w14:paraId="7CA97D6E" w14:textId="77777777" w:rsidR="007C10F0" w:rsidRPr="00674960" w:rsidRDefault="007C10F0" w:rsidP="00784097">
            <w:pPr>
              <w:autoSpaceDE w:val="0"/>
              <w:autoSpaceDN w:val="0"/>
              <w:adjustRightInd w:val="0"/>
              <w:spacing w:after="120" w:line="276" w:lineRule="auto"/>
              <w:jc w:val="both"/>
              <w:rPr>
                <w:color w:val="000000" w:themeColor="text1"/>
                <w:kern w:val="24"/>
              </w:rPr>
            </w:pPr>
            <w:r w:rsidRPr="00674960">
              <w:rPr>
                <w:rFonts w:asciiTheme="minorHAnsi" w:hAnsiTheme="minorHAnsi"/>
                <w:color w:val="000000" w:themeColor="text1"/>
              </w:rPr>
              <w:t>Článek 2</w:t>
            </w:r>
          </w:p>
        </w:tc>
        <w:tc>
          <w:tcPr>
            <w:tcW w:w="2270" w:type="dxa"/>
          </w:tcPr>
          <w:p w14:paraId="0D3DEADC" w14:textId="77777777" w:rsidR="007C10F0" w:rsidRPr="00674960" w:rsidRDefault="007C10F0" w:rsidP="00784097">
            <w:pPr>
              <w:autoSpaceDE w:val="0"/>
              <w:autoSpaceDN w:val="0"/>
              <w:adjustRightInd w:val="0"/>
              <w:spacing w:after="120" w:line="276" w:lineRule="auto"/>
              <w:jc w:val="both"/>
              <w:rPr>
                <w:color w:val="000000" w:themeColor="text1"/>
                <w:kern w:val="24"/>
              </w:rPr>
            </w:pPr>
            <w:r w:rsidRPr="00674960">
              <w:rPr>
                <w:rFonts w:asciiTheme="minorHAnsi" w:hAnsiTheme="minorHAnsi"/>
                <w:color w:val="000000" w:themeColor="text1"/>
              </w:rPr>
              <w:t>Článek 2</w:t>
            </w:r>
          </w:p>
        </w:tc>
      </w:tr>
      <w:tr w:rsidR="007C10F0" w14:paraId="057F8905" w14:textId="77777777" w:rsidTr="0048041D">
        <w:trPr>
          <w:jc w:val="center"/>
        </w:trPr>
        <w:tc>
          <w:tcPr>
            <w:tcW w:w="3115" w:type="dxa"/>
          </w:tcPr>
          <w:p w14:paraId="76DDCC69" w14:textId="77777777" w:rsidR="007C10F0" w:rsidRPr="00674960" w:rsidRDefault="007C10F0" w:rsidP="00784097">
            <w:pPr>
              <w:autoSpaceDE w:val="0"/>
              <w:autoSpaceDN w:val="0"/>
              <w:adjustRightInd w:val="0"/>
              <w:spacing w:after="120" w:line="276" w:lineRule="auto"/>
              <w:jc w:val="both"/>
              <w:rPr>
                <w:rFonts w:asciiTheme="minorHAnsi" w:hAnsiTheme="minorHAnsi" w:cstheme="minorHAnsi"/>
                <w:color w:val="000000" w:themeColor="text1"/>
                <w:kern w:val="24"/>
              </w:rPr>
            </w:pPr>
            <w:r w:rsidRPr="00674960">
              <w:rPr>
                <w:rFonts w:asciiTheme="minorHAnsi" w:hAnsiTheme="minorHAnsi"/>
                <w:color w:val="000000" w:themeColor="text1"/>
              </w:rPr>
              <w:t>Zákaz mučení</w:t>
            </w:r>
            <w:r w:rsidR="00460264" w:rsidRPr="00674960">
              <w:rPr>
                <w:rFonts w:asciiTheme="minorHAnsi" w:hAnsiTheme="minorHAnsi"/>
                <w:color w:val="000000" w:themeColor="text1"/>
              </w:rPr>
              <w:t xml:space="preserve"> a </w:t>
            </w:r>
            <w:r w:rsidRPr="00674960">
              <w:rPr>
                <w:rFonts w:asciiTheme="minorHAnsi" w:hAnsiTheme="minorHAnsi"/>
                <w:color w:val="000000" w:themeColor="text1"/>
              </w:rPr>
              <w:t>nelidského či ponižujícího zacházení anebo trestu</w:t>
            </w:r>
          </w:p>
        </w:tc>
        <w:tc>
          <w:tcPr>
            <w:tcW w:w="2269" w:type="dxa"/>
          </w:tcPr>
          <w:p w14:paraId="35F7BEB9" w14:textId="77777777" w:rsidR="007C10F0" w:rsidRPr="00674960" w:rsidRDefault="007C10F0" w:rsidP="00784097">
            <w:pPr>
              <w:autoSpaceDE w:val="0"/>
              <w:autoSpaceDN w:val="0"/>
              <w:adjustRightInd w:val="0"/>
              <w:spacing w:after="120" w:line="276" w:lineRule="auto"/>
              <w:jc w:val="both"/>
              <w:rPr>
                <w:color w:val="000000" w:themeColor="text1"/>
                <w:kern w:val="24"/>
              </w:rPr>
            </w:pPr>
            <w:r w:rsidRPr="00674960">
              <w:rPr>
                <w:rFonts w:asciiTheme="minorHAnsi" w:hAnsiTheme="minorHAnsi"/>
                <w:color w:val="000000" w:themeColor="text1"/>
              </w:rPr>
              <w:t>Článek 4</w:t>
            </w:r>
          </w:p>
        </w:tc>
        <w:tc>
          <w:tcPr>
            <w:tcW w:w="2270" w:type="dxa"/>
          </w:tcPr>
          <w:p w14:paraId="7C5C8C4E" w14:textId="77777777" w:rsidR="007C10F0" w:rsidRPr="00674960" w:rsidRDefault="007C10F0" w:rsidP="00784097">
            <w:pPr>
              <w:autoSpaceDE w:val="0"/>
              <w:autoSpaceDN w:val="0"/>
              <w:adjustRightInd w:val="0"/>
              <w:spacing w:after="120" w:line="276" w:lineRule="auto"/>
              <w:jc w:val="both"/>
              <w:rPr>
                <w:color w:val="000000" w:themeColor="text1"/>
                <w:kern w:val="24"/>
              </w:rPr>
            </w:pPr>
            <w:r w:rsidRPr="00674960">
              <w:rPr>
                <w:rFonts w:asciiTheme="minorHAnsi" w:hAnsiTheme="minorHAnsi"/>
                <w:color w:val="000000" w:themeColor="text1"/>
              </w:rPr>
              <w:t>Článek 3</w:t>
            </w:r>
          </w:p>
        </w:tc>
      </w:tr>
      <w:tr w:rsidR="007C10F0" w14:paraId="7DBA0704" w14:textId="77777777" w:rsidTr="0048041D">
        <w:trPr>
          <w:jc w:val="center"/>
        </w:trPr>
        <w:tc>
          <w:tcPr>
            <w:tcW w:w="3115" w:type="dxa"/>
          </w:tcPr>
          <w:p w14:paraId="08B841E3" w14:textId="77777777" w:rsidR="007C10F0" w:rsidRPr="00674960" w:rsidRDefault="007C10F0" w:rsidP="00784097">
            <w:pPr>
              <w:autoSpaceDE w:val="0"/>
              <w:autoSpaceDN w:val="0"/>
              <w:adjustRightInd w:val="0"/>
              <w:spacing w:after="120" w:line="276" w:lineRule="auto"/>
              <w:jc w:val="both"/>
              <w:rPr>
                <w:rFonts w:asciiTheme="minorHAnsi" w:hAnsiTheme="minorHAnsi" w:cstheme="minorHAnsi"/>
                <w:color w:val="000000" w:themeColor="text1"/>
                <w:kern w:val="24"/>
              </w:rPr>
            </w:pPr>
            <w:r w:rsidRPr="00674960">
              <w:rPr>
                <w:rFonts w:asciiTheme="minorHAnsi" w:hAnsiTheme="minorHAnsi"/>
                <w:color w:val="000000" w:themeColor="text1"/>
              </w:rPr>
              <w:t>Zákaz otroctví</w:t>
            </w:r>
            <w:r w:rsidR="00460264" w:rsidRPr="00674960">
              <w:rPr>
                <w:rFonts w:asciiTheme="minorHAnsi" w:hAnsiTheme="minorHAnsi"/>
                <w:color w:val="000000" w:themeColor="text1"/>
              </w:rPr>
              <w:t xml:space="preserve"> a </w:t>
            </w:r>
            <w:r w:rsidRPr="00674960">
              <w:rPr>
                <w:rFonts w:asciiTheme="minorHAnsi" w:hAnsiTheme="minorHAnsi"/>
                <w:color w:val="000000" w:themeColor="text1"/>
              </w:rPr>
              <w:t>nucené práce</w:t>
            </w:r>
          </w:p>
        </w:tc>
        <w:tc>
          <w:tcPr>
            <w:tcW w:w="2269" w:type="dxa"/>
          </w:tcPr>
          <w:p w14:paraId="1FC4565E" w14:textId="77777777" w:rsidR="007C10F0" w:rsidRPr="00674960" w:rsidRDefault="007C10F0" w:rsidP="00784097">
            <w:pPr>
              <w:autoSpaceDE w:val="0"/>
              <w:autoSpaceDN w:val="0"/>
              <w:adjustRightInd w:val="0"/>
              <w:spacing w:after="120" w:line="276" w:lineRule="auto"/>
              <w:jc w:val="both"/>
              <w:rPr>
                <w:color w:val="000000" w:themeColor="text1"/>
                <w:kern w:val="24"/>
              </w:rPr>
            </w:pPr>
            <w:r w:rsidRPr="00674960">
              <w:rPr>
                <w:rFonts w:asciiTheme="minorHAnsi" w:hAnsiTheme="minorHAnsi"/>
                <w:color w:val="000000" w:themeColor="text1"/>
              </w:rPr>
              <w:t>Článek 5 odst. 1</w:t>
            </w:r>
            <w:r w:rsidR="00460264" w:rsidRPr="00674960">
              <w:rPr>
                <w:rFonts w:asciiTheme="minorHAnsi" w:hAnsiTheme="minorHAnsi"/>
                <w:color w:val="000000" w:themeColor="text1"/>
              </w:rPr>
              <w:t xml:space="preserve"> a </w:t>
            </w:r>
            <w:r w:rsidRPr="00674960">
              <w:rPr>
                <w:rFonts w:asciiTheme="minorHAnsi" w:hAnsiTheme="minorHAnsi"/>
                <w:color w:val="000000" w:themeColor="text1"/>
              </w:rPr>
              <w:t>2</w:t>
            </w:r>
          </w:p>
        </w:tc>
        <w:tc>
          <w:tcPr>
            <w:tcW w:w="2270" w:type="dxa"/>
          </w:tcPr>
          <w:p w14:paraId="4A3210C4" w14:textId="77777777" w:rsidR="007C10F0" w:rsidRPr="00674960" w:rsidRDefault="007C10F0" w:rsidP="00784097">
            <w:pPr>
              <w:autoSpaceDE w:val="0"/>
              <w:autoSpaceDN w:val="0"/>
              <w:adjustRightInd w:val="0"/>
              <w:spacing w:after="120" w:line="276" w:lineRule="auto"/>
              <w:jc w:val="both"/>
              <w:rPr>
                <w:color w:val="000000" w:themeColor="text1"/>
                <w:kern w:val="24"/>
              </w:rPr>
            </w:pPr>
            <w:r w:rsidRPr="00674960">
              <w:rPr>
                <w:rFonts w:asciiTheme="minorHAnsi" w:hAnsiTheme="minorHAnsi"/>
                <w:color w:val="000000" w:themeColor="text1"/>
              </w:rPr>
              <w:t>Článek 4</w:t>
            </w:r>
          </w:p>
        </w:tc>
      </w:tr>
      <w:tr w:rsidR="007C10F0" w14:paraId="0908D09C" w14:textId="77777777" w:rsidTr="0048041D">
        <w:trPr>
          <w:jc w:val="center"/>
        </w:trPr>
        <w:tc>
          <w:tcPr>
            <w:tcW w:w="3115" w:type="dxa"/>
          </w:tcPr>
          <w:p w14:paraId="64AC2028" w14:textId="77777777" w:rsidR="007C10F0" w:rsidRPr="00674960" w:rsidRDefault="007C10F0" w:rsidP="00784097">
            <w:pPr>
              <w:autoSpaceDE w:val="0"/>
              <w:autoSpaceDN w:val="0"/>
              <w:adjustRightInd w:val="0"/>
              <w:spacing w:after="120" w:line="276" w:lineRule="auto"/>
              <w:jc w:val="both"/>
              <w:rPr>
                <w:rFonts w:asciiTheme="minorHAnsi" w:hAnsiTheme="minorHAnsi" w:cstheme="minorHAnsi"/>
                <w:color w:val="000000" w:themeColor="text1"/>
                <w:kern w:val="24"/>
              </w:rPr>
            </w:pPr>
            <w:r w:rsidRPr="00674960">
              <w:rPr>
                <w:rFonts w:asciiTheme="minorHAnsi" w:hAnsiTheme="minorHAnsi"/>
                <w:color w:val="000000" w:themeColor="text1"/>
              </w:rPr>
              <w:t>Právo na svobodu</w:t>
            </w:r>
            <w:r w:rsidR="00460264" w:rsidRPr="00674960">
              <w:rPr>
                <w:rFonts w:asciiTheme="minorHAnsi" w:hAnsiTheme="minorHAnsi"/>
                <w:color w:val="000000" w:themeColor="text1"/>
              </w:rPr>
              <w:t xml:space="preserve"> a </w:t>
            </w:r>
            <w:r w:rsidRPr="00674960">
              <w:rPr>
                <w:rFonts w:asciiTheme="minorHAnsi" w:hAnsiTheme="minorHAnsi"/>
                <w:color w:val="000000" w:themeColor="text1"/>
              </w:rPr>
              <w:t>bezpečnost</w:t>
            </w:r>
          </w:p>
        </w:tc>
        <w:tc>
          <w:tcPr>
            <w:tcW w:w="2269" w:type="dxa"/>
          </w:tcPr>
          <w:p w14:paraId="3A5A9A8A" w14:textId="77777777" w:rsidR="007C10F0" w:rsidRPr="00674960" w:rsidRDefault="007C10F0" w:rsidP="00784097">
            <w:pPr>
              <w:autoSpaceDE w:val="0"/>
              <w:autoSpaceDN w:val="0"/>
              <w:adjustRightInd w:val="0"/>
              <w:spacing w:after="120" w:line="276" w:lineRule="auto"/>
              <w:jc w:val="both"/>
              <w:rPr>
                <w:color w:val="000000" w:themeColor="text1"/>
                <w:kern w:val="24"/>
              </w:rPr>
            </w:pPr>
            <w:r w:rsidRPr="00674960">
              <w:rPr>
                <w:rFonts w:asciiTheme="minorHAnsi" w:hAnsiTheme="minorHAnsi"/>
                <w:color w:val="000000" w:themeColor="text1"/>
              </w:rPr>
              <w:t>Článek 6</w:t>
            </w:r>
          </w:p>
        </w:tc>
        <w:tc>
          <w:tcPr>
            <w:tcW w:w="2270" w:type="dxa"/>
          </w:tcPr>
          <w:p w14:paraId="40E76B36" w14:textId="77777777" w:rsidR="007C10F0" w:rsidRPr="00674960" w:rsidRDefault="007C10F0" w:rsidP="00784097">
            <w:pPr>
              <w:autoSpaceDE w:val="0"/>
              <w:autoSpaceDN w:val="0"/>
              <w:adjustRightInd w:val="0"/>
              <w:spacing w:after="120" w:line="276" w:lineRule="auto"/>
              <w:jc w:val="both"/>
              <w:rPr>
                <w:color w:val="000000" w:themeColor="text1"/>
                <w:kern w:val="24"/>
              </w:rPr>
            </w:pPr>
            <w:r w:rsidRPr="00674960">
              <w:rPr>
                <w:rFonts w:asciiTheme="minorHAnsi" w:hAnsiTheme="minorHAnsi"/>
                <w:color w:val="000000" w:themeColor="text1"/>
              </w:rPr>
              <w:t>Článek 5</w:t>
            </w:r>
          </w:p>
        </w:tc>
      </w:tr>
      <w:tr w:rsidR="007C10F0" w14:paraId="5AC73FF4" w14:textId="77777777" w:rsidTr="0048041D">
        <w:trPr>
          <w:jc w:val="center"/>
        </w:trPr>
        <w:tc>
          <w:tcPr>
            <w:tcW w:w="3115" w:type="dxa"/>
          </w:tcPr>
          <w:p w14:paraId="3237A9EB" w14:textId="77777777" w:rsidR="007C10F0" w:rsidRPr="00674960" w:rsidRDefault="007C10F0" w:rsidP="00784097">
            <w:pPr>
              <w:autoSpaceDE w:val="0"/>
              <w:autoSpaceDN w:val="0"/>
              <w:adjustRightInd w:val="0"/>
              <w:spacing w:after="120" w:line="276" w:lineRule="auto"/>
              <w:jc w:val="both"/>
              <w:rPr>
                <w:rFonts w:asciiTheme="minorHAnsi" w:hAnsiTheme="minorHAnsi" w:cstheme="minorHAnsi"/>
                <w:color w:val="000000" w:themeColor="text1"/>
                <w:kern w:val="24"/>
              </w:rPr>
            </w:pPr>
            <w:r w:rsidRPr="00674960">
              <w:rPr>
                <w:rFonts w:asciiTheme="minorHAnsi" w:hAnsiTheme="minorHAnsi"/>
                <w:color w:val="000000" w:themeColor="text1"/>
              </w:rPr>
              <w:t>Respektování soukromého</w:t>
            </w:r>
            <w:r w:rsidR="00460264" w:rsidRPr="00674960">
              <w:rPr>
                <w:rFonts w:asciiTheme="minorHAnsi" w:hAnsiTheme="minorHAnsi"/>
                <w:color w:val="000000" w:themeColor="text1"/>
              </w:rPr>
              <w:t xml:space="preserve"> a </w:t>
            </w:r>
            <w:r w:rsidRPr="00674960">
              <w:rPr>
                <w:rFonts w:asciiTheme="minorHAnsi" w:hAnsiTheme="minorHAnsi"/>
                <w:color w:val="000000" w:themeColor="text1"/>
              </w:rPr>
              <w:t>rodinného života</w:t>
            </w:r>
          </w:p>
        </w:tc>
        <w:tc>
          <w:tcPr>
            <w:tcW w:w="2269" w:type="dxa"/>
          </w:tcPr>
          <w:p w14:paraId="1C7E6D85" w14:textId="77777777" w:rsidR="007C10F0" w:rsidRPr="00674960" w:rsidRDefault="007C10F0" w:rsidP="00784097">
            <w:pPr>
              <w:autoSpaceDE w:val="0"/>
              <w:autoSpaceDN w:val="0"/>
              <w:adjustRightInd w:val="0"/>
              <w:spacing w:after="120" w:line="276" w:lineRule="auto"/>
              <w:jc w:val="both"/>
              <w:rPr>
                <w:color w:val="000000" w:themeColor="text1"/>
                <w:kern w:val="24"/>
              </w:rPr>
            </w:pPr>
            <w:r w:rsidRPr="00674960">
              <w:rPr>
                <w:rFonts w:asciiTheme="minorHAnsi" w:hAnsiTheme="minorHAnsi"/>
                <w:color w:val="000000" w:themeColor="text1"/>
              </w:rPr>
              <w:t>Článek 7</w:t>
            </w:r>
          </w:p>
        </w:tc>
        <w:tc>
          <w:tcPr>
            <w:tcW w:w="2270" w:type="dxa"/>
          </w:tcPr>
          <w:p w14:paraId="393C564B" w14:textId="77777777" w:rsidR="007C10F0" w:rsidRPr="00674960" w:rsidRDefault="007C10F0" w:rsidP="00784097">
            <w:pPr>
              <w:autoSpaceDE w:val="0"/>
              <w:autoSpaceDN w:val="0"/>
              <w:adjustRightInd w:val="0"/>
              <w:spacing w:after="120" w:line="276" w:lineRule="auto"/>
              <w:jc w:val="both"/>
              <w:rPr>
                <w:color w:val="000000" w:themeColor="text1"/>
                <w:kern w:val="24"/>
              </w:rPr>
            </w:pPr>
            <w:r w:rsidRPr="00674960">
              <w:rPr>
                <w:rFonts w:asciiTheme="minorHAnsi" w:hAnsiTheme="minorHAnsi"/>
                <w:color w:val="000000" w:themeColor="text1"/>
              </w:rPr>
              <w:t>Článek 8</w:t>
            </w:r>
          </w:p>
        </w:tc>
      </w:tr>
      <w:tr w:rsidR="007C10F0" w14:paraId="60DF619A" w14:textId="77777777" w:rsidTr="0048041D">
        <w:trPr>
          <w:jc w:val="center"/>
        </w:trPr>
        <w:tc>
          <w:tcPr>
            <w:tcW w:w="3115" w:type="dxa"/>
          </w:tcPr>
          <w:p w14:paraId="28ED6323" w14:textId="77777777" w:rsidR="007C10F0" w:rsidRPr="00674960" w:rsidRDefault="007C10F0" w:rsidP="00784097">
            <w:pPr>
              <w:autoSpaceDE w:val="0"/>
              <w:autoSpaceDN w:val="0"/>
              <w:adjustRightInd w:val="0"/>
              <w:spacing w:after="120" w:line="276" w:lineRule="auto"/>
              <w:jc w:val="both"/>
              <w:rPr>
                <w:rFonts w:asciiTheme="minorHAnsi" w:hAnsiTheme="minorHAnsi" w:cstheme="minorHAnsi"/>
                <w:color w:val="000000" w:themeColor="text1"/>
                <w:kern w:val="24"/>
              </w:rPr>
            </w:pPr>
            <w:r w:rsidRPr="00674960">
              <w:rPr>
                <w:rFonts w:asciiTheme="minorHAnsi" w:hAnsiTheme="minorHAnsi"/>
                <w:color w:val="000000" w:themeColor="text1"/>
              </w:rPr>
              <w:t>Svoboda myšlení, svědomí</w:t>
            </w:r>
            <w:r w:rsidR="00460264" w:rsidRPr="00674960">
              <w:rPr>
                <w:rFonts w:asciiTheme="minorHAnsi" w:hAnsiTheme="minorHAnsi"/>
                <w:color w:val="000000" w:themeColor="text1"/>
              </w:rPr>
              <w:t xml:space="preserve"> a </w:t>
            </w:r>
            <w:r w:rsidRPr="00674960">
              <w:rPr>
                <w:rFonts w:asciiTheme="minorHAnsi" w:hAnsiTheme="minorHAnsi"/>
                <w:color w:val="000000" w:themeColor="text1"/>
              </w:rPr>
              <w:t>náboženského vyznání</w:t>
            </w:r>
          </w:p>
        </w:tc>
        <w:tc>
          <w:tcPr>
            <w:tcW w:w="2269" w:type="dxa"/>
          </w:tcPr>
          <w:p w14:paraId="3600F3FB" w14:textId="77777777" w:rsidR="007C10F0" w:rsidRPr="00674960" w:rsidRDefault="007C10F0" w:rsidP="00784097">
            <w:pPr>
              <w:autoSpaceDE w:val="0"/>
              <w:autoSpaceDN w:val="0"/>
              <w:adjustRightInd w:val="0"/>
              <w:spacing w:after="120" w:line="276" w:lineRule="auto"/>
              <w:jc w:val="both"/>
              <w:rPr>
                <w:color w:val="000000" w:themeColor="text1"/>
                <w:kern w:val="24"/>
              </w:rPr>
            </w:pPr>
            <w:r w:rsidRPr="00674960">
              <w:rPr>
                <w:rFonts w:asciiTheme="minorHAnsi" w:hAnsiTheme="minorHAnsi"/>
                <w:color w:val="000000" w:themeColor="text1"/>
              </w:rPr>
              <w:t>Článek 10 odst. 1</w:t>
            </w:r>
          </w:p>
        </w:tc>
        <w:tc>
          <w:tcPr>
            <w:tcW w:w="2270" w:type="dxa"/>
          </w:tcPr>
          <w:p w14:paraId="5D9CBBD9" w14:textId="77777777" w:rsidR="007C10F0" w:rsidRPr="00674960" w:rsidRDefault="007C10F0" w:rsidP="00784097">
            <w:pPr>
              <w:autoSpaceDE w:val="0"/>
              <w:autoSpaceDN w:val="0"/>
              <w:adjustRightInd w:val="0"/>
              <w:spacing w:after="120" w:line="276" w:lineRule="auto"/>
              <w:jc w:val="both"/>
              <w:rPr>
                <w:color w:val="000000" w:themeColor="text1"/>
                <w:kern w:val="24"/>
              </w:rPr>
            </w:pPr>
            <w:r w:rsidRPr="00674960">
              <w:rPr>
                <w:rFonts w:asciiTheme="minorHAnsi" w:hAnsiTheme="minorHAnsi"/>
                <w:color w:val="000000" w:themeColor="text1"/>
              </w:rPr>
              <w:t>Článek 9</w:t>
            </w:r>
          </w:p>
        </w:tc>
      </w:tr>
      <w:tr w:rsidR="007C10F0" w14:paraId="1D859425" w14:textId="77777777" w:rsidTr="0048041D">
        <w:trPr>
          <w:jc w:val="center"/>
        </w:trPr>
        <w:tc>
          <w:tcPr>
            <w:tcW w:w="3115" w:type="dxa"/>
          </w:tcPr>
          <w:p w14:paraId="74B02EC1" w14:textId="77777777" w:rsidR="007C10F0" w:rsidRPr="00674960" w:rsidRDefault="007C10F0" w:rsidP="00784097">
            <w:pPr>
              <w:autoSpaceDE w:val="0"/>
              <w:autoSpaceDN w:val="0"/>
              <w:adjustRightInd w:val="0"/>
              <w:spacing w:after="120" w:line="276" w:lineRule="auto"/>
              <w:jc w:val="both"/>
              <w:rPr>
                <w:rFonts w:asciiTheme="minorHAnsi" w:hAnsiTheme="minorHAnsi" w:cstheme="minorHAnsi"/>
                <w:color w:val="000000" w:themeColor="text1"/>
                <w:kern w:val="24"/>
              </w:rPr>
            </w:pPr>
            <w:r w:rsidRPr="00674960">
              <w:rPr>
                <w:rFonts w:asciiTheme="minorHAnsi" w:hAnsiTheme="minorHAnsi"/>
                <w:color w:val="000000" w:themeColor="text1"/>
              </w:rPr>
              <w:t>Svoboda projevu</w:t>
            </w:r>
            <w:r w:rsidR="00460264" w:rsidRPr="00674960">
              <w:rPr>
                <w:rFonts w:asciiTheme="minorHAnsi" w:hAnsiTheme="minorHAnsi"/>
                <w:color w:val="000000" w:themeColor="text1"/>
              </w:rPr>
              <w:t xml:space="preserve"> a </w:t>
            </w:r>
            <w:r w:rsidRPr="00674960">
              <w:rPr>
                <w:rFonts w:asciiTheme="minorHAnsi" w:hAnsiTheme="minorHAnsi"/>
                <w:color w:val="000000" w:themeColor="text1"/>
              </w:rPr>
              <w:t>informací</w:t>
            </w:r>
          </w:p>
        </w:tc>
        <w:tc>
          <w:tcPr>
            <w:tcW w:w="2269" w:type="dxa"/>
          </w:tcPr>
          <w:p w14:paraId="25FE8BD7" w14:textId="77777777" w:rsidR="007C10F0" w:rsidRPr="00674960" w:rsidRDefault="007C10F0" w:rsidP="00784097">
            <w:pPr>
              <w:autoSpaceDE w:val="0"/>
              <w:autoSpaceDN w:val="0"/>
              <w:adjustRightInd w:val="0"/>
              <w:spacing w:after="120" w:line="276" w:lineRule="auto"/>
              <w:jc w:val="both"/>
              <w:rPr>
                <w:color w:val="000000" w:themeColor="text1"/>
                <w:kern w:val="24"/>
              </w:rPr>
            </w:pPr>
            <w:r w:rsidRPr="00674960">
              <w:rPr>
                <w:rFonts w:asciiTheme="minorHAnsi" w:hAnsiTheme="minorHAnsi"/>
                <w:color w:val="000000" w:themeColor="text1"/>
              </w:rPr>
              <w:t>Článek 11</w:t>
            </w:r>
          </w:p>
        </w:tc>
        <w:tc>
          <w:tcPr>
            <w:tcW w:w="2270" w:type="dxa"/>
          </w:tcPr>
          <w:p w14:paraId="314775F9" w14:textId="77777777" w:rsidR="007C10F0" w:rsidRPr="00674960" w:rsidRDefault="007C10F0" w:rsidP="00784097">
            <w:pPr>
              <w:autoSpaceDE w:val="0"/>
              <w:autoSpaceDN w:val="0"/>
              <w:adjustRightInd w:val="0"/>
              <w:spacing w:after="120" w:line="276" w:lineRule="auto"/>
              <w:jc w:val="both"/>
              <w:rPr>
                <w:color w:val="000000" w:themeColor="text1"/>
                <w:kern w:val="24"/>
              </w:rPr>
            </w:pPr>
            <w:r w:rsidRPr="00674960">
              <w:rPr>
                <w:rFonts w:asciiTheme="minorHAnsi" w:hAnsiTheme="minorHAnsi"/>
                <w:color w:val="000000" w:themeColor="text1"/>
              </w:rPr>
              <w:t>Článek 10</w:t>
            </w:r>
          </w:p>
        </w:tc>
      </w:tr>
      <w:tr w:rsidR="007C10F0" w14:paraId="31BCC6BA" w14:textId="77777777" w:rsidTr="0048041D">
        <w:trPr>
          <w:jc w:val="center"/>
        </w:trPr>
        <w:tc>
          <w:tcPr>
            <w:tcW w:w="3115" w:type="dxa"/>
          </w:tcPr>
          <w:p w14:paraId="28911C3F" w14:textId="77777777" w:rsidR="007C10F0" w:rsidRPr="00674960" w:rsidRDefault="007C10F0" w:rsidP="00784097">
            <w:pPr>
              <w:autoSpaceDE w:val="0"/>
              <w:autoSpaceDN w:val="0"/>
              <w:adjustRightInd w:val="0"/>
              <w:spacing w:after="120" w:line="276" w:lineRule="auto"/>
              <w:jc w:val="both"/>
              <w:rPr>
                <w:rFonts w:asciiTheme="minorHAnsi" w:hAnsiTheme="minorHAnsi" w:cstheme="minorHAnsi"/>
                <w:color w:val="000000" w:themeColor="text1"/>
                <w:kern w:val="24"/>
              </w:rPr>
            </w:pPr>
            <w:r w:rsidRPr="00674960">
              <w:rPr>
                <w:rFonts w:asciiTheme="minorHAnsi" w:hAnsiTheme="minorHAnsi"/>
                <w:color w:val="000000" w:themeColor="text1"/>
              </w:rPr>
              <w:t>Právo na vlastnictví</w:t>
            </w:r>
          </w:p>
        </w:tc>
        <w:tc>
          <w:tcPr>
            <w:tcW w:w="2269" w:type="dxa"/>
          </w:tcPr>
          <w:p w14:paraId="61F55754" w14:textId="77777777" w:rsidR="007C10F0" w:rsidRPr="00674960" w:rsidRDefault="007C10F0" w:rsidP="00784097">
            <w:pPr>
              <w:autoSpaceDE w:val="0"/>
              <w:autoSpaceDN w:val="0"/>
              <w:adjustRightInd w:val="0"/>
              <w:spacing w:after="120" w:line="276" w:lineRule="auto"/>
              <w:jc w:val="both"/>
              <w:rPr>
                <w:color w:val="000000" w:themeColor="text1"/>
                <w:kern w:val="24"/>
              </w:rPr>
            </w:pPr>
            <w:r w:rsidRPr="00674960">
              <w:rPr>
                <w:rFonts w:asciiTheme="minorHAnsi" w:hAnsiTheme="minorHAnsi"/>
                <w:color w:val="000000" w:themeColor="text1"/>
              </w:rPr>
              <w:t>Článek 17</w:t>
            </w:r>
          </w:p>
        </w:tc>
        <w:tc>
          <w:tcPr>
            <w:tcW w:w="2270" w:type="dxa"/>
          </w:tcPr>
          <w:p w14:paraId="1C24256F" w14:textId="77777777" w:rsidR="007C10F0" w:rsidRPr="00674960" w:rsidRDefault="007C10F0" w:rsidP="00784097">
            <w:pPr>
              <w:autoSpaceDE w:val="0"/>
              <w:autoSpaceDN w:val="0"/>
              <w:adjustRightInd w:val="0"/>
              <w:spacing w:after="120" w:line="276" w:lineRule="auto"/>
              <w:jc w:val="both"/>
              <w:rPr>
                <w:color w:val="000000" w:themeColor="text1"/>
                <w:kern w:val="24"/>
              </w:rPr>
            </w:pPr>
            <w:r w:rsidRPr="00674960">
              <w:rPr>
                <w:rFonts w:asciiTheme="minorHAnsi" w:hAnsiTheme="minorHAnsi"/>
                <w:color w:val="000000" w:themeColor="text1"/>
              </w:rPr>
              <w:t>Článek 1 dodatkového protokolu</w:t>
            </w:r>
          </w:p>
        </w:tc>
      </w:tr>
      <w:tr w:rsidR="007C10F0" w14:paraId="20EE3FB2" w14:textId="77777777" w:rsidTr="0048041D">
        <w:trPr>
          <w:jc w:val="center"/>
        </w:trPr>
        <w:tc>
          <w:tcPr>
            <w:tcW w:w="3115" w:type="dxa"/>
          </w:tcPr>
          <w:p w14:paraId="32209846" w14:textId="77777777" w:rsidR="007C10F0" w:rsidRPr="00674960" w:rsidRDefault="007C10F0" w:rsidP="00784097">
            <w:pPr>
              <w:autoSpaceDE w:val="0"/>
              <w:autoSpaceDN w:val="0"/>
              <w:adjustRightInd w:val="0"/>
              <w:spacing w:after="120" w:line="276" w:lineRule="auto"/>
              <w:jc w:val="both"/>
              <w:rPr>
                <w:rFonts w:asciiTheme="minorHAnsi" w:hAnsiTheme="minorHAnsi" w:cstheme="minorHAnsi"/>
                <w:color w:val="000000" w:themeColor="text1"/>
                <w:kern w:val="24"/>
              </w:rPr>
            </w:pPr>
            <w:r w:rsidRPr="00674960">
              <w:rPr>
                <w:rFonts w:asciiTheme="minorHAnsi" w:hAnsiTheme="minorHAnsi"/>
                <w:color w:val="000000" w:themeColor="text1"/>
              </w:rPr>
              <w:t>Zákaz kolektivního vyhoštění cizinců</w:t>
            </w:r>
          </w:p>
        </w:tc>
        <w:tc>
          <w:tcPr>
            <w:tcW w:w="2269" w:type="dxa"/>
          </w:tcPr>
          <w:p w14:paraId="277E92F1" w14:textId="77777777" w:rsidR="007C10F0" w:rsidRPr="00674960" w:rsidRDefault="007C10F0" w:rsidP="00784097">
            <w:pPr>
              <w:autoSpaceDE w:val="0"/>
              <w:autoSpaceDN w:val="0"/>
              <w:adjustRightInd w:val="0"/>
              <w:spacing w:after="120" w:line="276" w:lineRule="auto"/>
              <w:jc w:val="both"/>
              <w:rPr>
                <w:color w:val="000000" w:themeColor="text1"/>
                <w:kern w:val="24"/>
              </w:rPr>
            </w:pPr>
            <w:r w:rsidRPr="00674960">
              <w:rPr>
                <w:rFonts w:asciiTheme="minorHAnsi" w:hAnsiTheme="minorHAnsi"/>
                <w:color w:val="000000" w:themeColor="text1"/>
              </w:rPr>
              <w:t>Článek 19 odst. 1</w:t>
            </w:r>
          </w:p>
        </w:tc>
        <w:tc>
          <w:tcPr>
            <w:tcW w:w="2270" w:type="dxa"/>
          </w:tcPr>
          <w:p w14:paraId="3DD7F567" w14:textId="77777777" w:rsidR="007C10F0" w:rsidRPr="00674960" w:rsidRDefault="007C10F0" w:rsidP="00784097">
            <w:pPr>
              <w:autoSpaceDE w:val="0"/>
              <w:autoSpaceDN w:val="0"/>
              <w:adjustRightInd w:val="0"/>
              <w:spacing w:after="120" w:line="276" w:lineRule="auto"/>
              <w:jc w:val="both"/>
              <w:rPr>
                <w:color w:val="000000" w:themeColor="text1"/>
                <w:kern w:val="24"/>
              </w:rPr>
            </w:pPr>
            <w:r w:rsidRPr="00674960">
              <w:rPr>
                <w:rFonts w:asciiTheme="minorHAnsi" w:hAnsiTheme="minorHAnsi"/>
                <w:color w:val="000000" w:themeColor="text1"/>
              </w:rPr>
              <w:t xml:space="preserve">Článek 4 protokolu </w:t>
            </w:r>
            <w:r w:rsidR="00460264" w:rsidRPr="00674960">
              <w:rPr>
                <w:rFonts w:asciiTheme="minorHAnsi" w:hAnsiTheme="minorHAnsi"/>
                <w:color w:val="000000" w:themeColor="text1"/>
              </w:rPr>
              <w:t>č. </w:t>
            </w:r>
            <w:r w:rsidRPr="00674960">
              <w:rPr>
                <w:rFonts w:asciiTheme="minorHAnsi" w:hAnsiTheme="minorHAnsi"/>
                <w:color w:val="000000" w:themeColor="text1"/>
              </w:rPr>
              <w:t>4</w:t>
            </w:r>
          </w:p>
        </w:tc>
      </w:tr>
      <w:tr w:rsidR="007C10F0" w14:paraId="5568DD8D" w14:textId="77777777" w:rsidTr="0048041D">
        <w:trPr>
          <w:jc w:val="center"/>
        </w:trPr>
        <w:tc>
          <w:tcPr>
            <w:tcW w:w="3115" w:type="dxa"/>
          </w:tcPr>
          <w:p w14:paraId="6F0E49E1" w14:textId="77777777" w:rsidR="007C10F0" w:rsidRPr="00674960" w:rsidRDefault="007C10F0" w:rsidP="00784097">
            <w:pPr>
              <w:autoSpaceDE w:val="0"/>
              <w:autoSpaceDN w:val="0"/>
              <w:adjustRightInd w:val="0"/>
              <w:spacing w:after="120" w:line="276" w:lineRule="auto"/>
              <w:jc w:val="both"/>
              <w:rPr>
                <w:rFonts w:asciiTheme="minorHAnsi" w:hAnsiTheme="minorHAnsi" w:cstheme="minorHAnsi"/>
                <w:color w:val="000000" w:themeColor="text1"/>
                <w:kern w:val="24"/>
              </w:rPr>
            </w:pPr>
            <w:r w:rsidRPr="00674960">
              <w:rPr>
                <w:rFonts w:asciiTheme="minorHAnsi" w:hAnsiTheme="minorHAnsi"/>
                <w:color w:val="000000" w:themeColor="text1"/>
              </w:rPr>
              <w:t>Zásada nenavracení</w:t>
            </w:r>
          </w:p>
        </w:tc>
        <w:tc>
          <w:tcPr>
            <w:tcW w:w="2269" w:type="dxa"/>
          </w:tcPr>
          <w:p w14:paraId="1235421D" w14:textId="77777777" w:rsidR="007C10F0" w:rsidRPr="00674960" w:rsidRDefault="007C10F0" w:rsidP="00784097">
            <w:pPr>
              <w:autoSpaceDE w:val="0"/>
              <w:autoSpaceDN w:val="0"/>
              <w:adjustRightInd w:val="0"/>
              <w:spacing w:after="120" w:line="276" w:lineRule="auto"/>
              <w:jc w:val="both"/>
              <w:rPr>
                <w:color w:val="000000" w:themeColor="text1"/>
                <w:kern w:val="24"/>
              </w:rPr>
            </w:pPr>
            <w:r w:rsidRPr="00674960">
              <w:rPr>
                <w:rFonts w:asciiTheme="minorHAnsi" w:hAnsiTheme="minorHAnsi"/>
                <w:color w:val="000000" w:themeColor="text1"/>
              </w:rPr>
              <w:t>Článek 19 odst. 2</w:t>
            </w:r>
          </w:p>
        </w:tc>
        <w:tc>
          <w:tcPr>
            <w:tcW w:w="2270" w:type="dxa"/>
          </w:tcPr>
          <w:p w14:paraId="2036124D" w14:textId="77777777" w:rsidR="007C10F0" w:rsidRPr="00674960" w:rsidRDefault="007C10F0" w:rsidP="00784097">
            <w:pPr>
              <w:autoSpaceDE w:val="0"/>
              <w:autoSpaceDN w:val="0"/>
              <w:adjustRightInd w:val="0"/>
              <w:spacing w:after="120" w:line="276" w:lineRule="auto"/>
              <w:jc w:val="both"/>
              <w:rPr>
                <w:color w:val="000000" w:themeColor="text1"/>
                <w:kern w:val="24"/>
              </w:rPr>
            </w:pPr>
            <w:r w:rsidRPr="00674960">
              <w:rPr>
                <w:rFonts w:asciiTheme="minorHAnsi" w:hAnsiTheme="minorHAnsi"/>
                <w:color w:val="000000" w:themeColor="text1"/>
              </w:rPr>
              <w:t>Článek 3</w:t>
            </w:r>
          </w:p>
        </w:tc>
      </w:tr>
      <w:tr w:rsidR="007C10F0" w14:paraId="16569671" w14:textId="77777777" w:rsidTr="0048041D">
        <w:trPr>
          <w:jc w:val="center"/>
        </w:trPr>
        <w:tc>
          <w:tcPr>
            <w:tcW w:w="3115" w:type="dxa"/>
          </w:tcPr>
          <w:p w14:paraId="3308524D" w14:textId="77777777" w:rsidR="007C10F0" w:rsidRPr="00674960" w:rsidRDefault="007C10F0" w:rsidP="00784097">
            <w:pPr>
              <w:autoSpaceDE w:val="0"/>
              <w:autoSpaceDN w:val="0"/>
              <w:adjustRightInd w:val="0"/>
              <w:spacing w:after="120" w:line="276" w:lineRule="auto"/>
              <w:jc w:val="both"/>
              <w:rPr>
                <w:rFonts w:asciiTheme="minorHAnsi" w:hAnsiTheme="minorHAnsi" w:cstheme="minorHAnsi"/>
                <w:color w:val="000000" w:themeColor="text1"/>
                <w:kern w:val="24"/>
              </w:rPr>
            </w:pPr>
            <w:r w:rsidRPr="00674960">
              <w:rPr>
                <w:rFonts w:asciiTheme="minorHAnsi" w:hAnsiTheme="minorHAnsi"/>
                <w:color w:val="000000" w:themeColor="text1"/>
              </w:rPr>
              <w:t>Presumpce neviny</w:t>
            </w:r>
            <w:r w:rsidR="00460264" w:rsidRPr="00674960">
              <w:rPr>
                <w:rFonts w:asciiTheme="minorHAnsi" w:hAnsiTheme="minorHAnsi"/>
                <w:color w:val="000000" w:themeColor="text1"/>
              </w:rPr>
              <w:t xml:space="preserve"> a </w:t>
            </w:r>
            <w:r w:rsidRPr="00674960">
              <w:rPr>
                <w:rFonts w:asciiTheme="minorHAnsi" w:hAnsiTheme="minorHAnsi"/>
                <w:color w:val="000000" w:themeColor="text1"/>
              </w:rPr>
              <w:t>právo na obhajobu</w:t>
            </w:r>
          </w:p>
        </w:tc>
        <w:tc>
          <w:tcPr>
            <w:tcW w:w="2269" w:type="dxa"/>
          </w:tcPr>
          <w:p w14:paraId="614A12E9" w14:textId="77777777" w:rsidR="007C10F0" w:rsidRPr="00674960" w:rsidRDefault="007C10F0" w:rsidP="00784097">
            <w:pPr>
              <w:autoSpaceDE w:val="0"/>
              <w:autoSpaceDN w:val="0"/>
              <w:adjustRightInd w:val="0"/>
              <w:spacing w:after="120" w:line="276" w:lineRule="auto"/>
              <w:jc w:val="both"/>
              <w:rPr>
                <w:color w:val="000000" w:themeColor="text1"/>
                <w:kern w:val="24"/>
              </w:rPr>
            </w:pPr>
            <w:r w:rsidRPr="00674960">
              <w:rPr>
                <w:rFonts w:asciiTheme="minorHAnsi" w:hAnsiTheme="minorHAnsi"/>
                <w:color w:val="000000" w:themeColor="text1"/>
              </w:rPr>
              <w:t>Článek 48</w:t>
            </w:r>
          </w:p>
        </w:tc>
        <w:tc>
          <w:tcPr>
            <w:tcW w:w="2270" w:type="dxa"/>
          </w:tcPr>
          <w:p w14:paraId="71C464A9" w14:textId="77777777" w:rsidR="007C10F0" w:rsidRPr="00674960" w:rsidRDefault="007C10F0" w:rsidP="00784097">
            <w:pPr>
              <w:autoSpaceDE w:val="0"/>
              <w:autoSpaceDN w:val="0"/>
              <w:adjustRightInd w:val="0"/>
              <w:spacing w:after="120" w:line="276" w:lineRule="auto"/>
              <w:jc w:val="both"/>
              <w:rPr>
                <w:color w:val="000000" w:themeColor="text1"/>
                <w:kern w:val="24"/>
              </w:rPr>
            </w:pPr>
            <w:r w:rsidRPr="00674960">
              <w:rPr>
                <w:rFonts w:asciiTheme="minorHAnsi" w:hAnsiTheme="minorHAnsi"/>
                <w:color w:val="000000" w:themeColor="text1"/>
              </w:rPr>
              <w:t>Článek 6 odst. 2</w:t>
            </w:r>
            <w:r w:rsidR="00460264" w:rsidRPr="00674960">
              <w:rPr>
                <w:rFonts w:asciiTheme="minorHAnsi" w:hAnsiTheme="minorHAnsi"/>
                <w:color w:val="000000" w:themeColor="text1"/>
              </w:rPr>
              <w:t xml:space="preserve"> a </w:t>
            </w:r>
            <w:r w:rsidRPr="00674960">
              <w:rPr>
                <w:rFonts w:asciiTheme="minorHAnsi" w:hAnsiTheme="minorHAnsi"/>
                <w:color w:val="000000" w:themeColor="text1"/>
              </w:rPr>
              <w:t>3</w:t>
            </w:r>
          </w:p>
        </w:tc>
      </w:tr>
      <w:tr w:rsidR="007C10F0" w14:paraId="6AD9AA83" w14:textId="77777777" w:rsidTr="0048041D">
        <w:trPr>
          <w:jc w:val="center"/>
        </w:trPr>
        <w:tc>
          <w:tcPr>
            <w:tcW w:w="3115" w:type="dxa"/>
          </w:tcPr>
          <w:p w14:paraId="12D62806" w14:textId="77777777" w:rsidR="007C10F0" w:rsidRPr="00674960" w:rsidRDefault="007C10F0" w:rsidP="00862391">
            <w:pPr>
              <w:autoSpaceDE w:val="0"/>
              <w:autoSpaceDN w:val="0"/>
              <w:adjustRightInd w:val="0"/>
              <w:spacing w:after="120" w:line="276" w:lineRule="auto"/>
              <w:rPr>
                <w:rFonts w:asciiTheme="minorHAnsi" w:hAnsiTheme="minorHAnsi" w:cstheme="minorHAnsi"/>
                <w:color w:val="000000" w:themeColor="text1"/>
                <w:kern w:val="24"/>
              </w:rPr>
            </w:pPr>
            <w:r w:rsidRPr="00674960">
              <w:rPr>
                <w:rFonts w:asciiTheme="minorHAnsi" w:hAnsiTheme="minorHAnsi"/>
                <w:color w:val="000000" w:themeColor="text1"/>
              </w:rPr>
              <w:t>Zásady zákonnosti</w:t>
            </w:r>
            <w:r w:rsidR="00460264" w:rsidRPr="00674960">
              <w:rPr>
                <w:rFonts w:asciiTheme="minorHAnsi" w:hAnsiTheme="minorHAnsi"/>
                <w:color w:val="000000" w:themeColor="text1"/>
              </w:rPr>
              <w:t xml:space="preserve"> </w:t>
            </w:r>
            <w:r w:rsidR="00460264" w:rsidRPr="00674960">
              <w:rPr>
                <w:rFonts w:asciiTheme="minorHAnsi" w:hAnsiTheme="minorHAnsi"/>
                <w:color w:val="000000" w:themeColor="text1"/>
              </w:rPr>
              <w:lastRenderedPageBreak/>
              <w:t>a </w:t>
            </w:r>
            <w:r w:rsidRPr="00674960">
              <w:rPr>
                <w:rFonts w:asciiTheme="minorHAnsi" w:hAnsiTheme="minorHAnsi"/>
                <w:color w:val="000000" w:themeColor="text1"/>
              </w:rPr>
              <w:t>přiměřenosti trestných činů</w:t>
            </w:r>
            <w:r w:rsidR="00460264" w:rsidRPr="00674960">
              <w:rPr>
                <w:rFonts w:asciiTheme="minorHAnsi" w:hAnsiTheme="minorHAnsi"/>
                <w:color w:val="000000" w:themeColor="text1"/>
              </w:rPr>
              <w:t xml:space="preserve"> a </w:t>
            </w:r>
            <w:r w:rsidRPr="00674960">
              <w:rPr>
                <w:rFonts w:asciiTheme="minorHAnsi" w:hAnsiTheme="minorHAnsi"/>
                <w:color w:val="000000" w:themeColor="text1"/>
              </w:rPr>
              <w:t>trestů</w:t>
            </w:r>
          </w:p>
        </w:tc>
        <w:tc>
          <w:tcPr>
            <w:tcW w:w="2269" w:type="dxa"/>
          </w:tcPr>
          <w:p w14:paraId="3CCA1FC8" w14:textId="77777777" w:rsidR="007C10F0" w:rsidRPr="00674960" w:rsidRDefault="007C10F0" w:rsidP="00784097">
            <w:pPr>
              <w:autoSpaceDE w:val="0"/>
              <w:autoSpaceDN w:val="0"/>
              <w:adjustRightInd w:val="0"/>
              <w:spacing w:after="120" w:line="276" w:lineRule="auto"/>
              <w:jc w:val="both"/>
              <w:rPr>
                <w:color w:val="000000" w:themeColor="text1"/>
                <w:kern w:val="24"/>
              </w:rPr>
            </w:pPr>
            <w:r w:rsidRPr="00674960">
              <w:rPr>
                <w:rFonts w:asciiTheme="minorHAnsi" w:hAnsiTheme="minorHAnsi"/>
                <w:color w:val="000000" w:themeColor="text1"/>
              </w:rPr>
              <w:lastRenderedPageBreak/>
              <w:t xml:space="preserve">Článek 49 odst. 2, </w:t>
            </w:r>
            <w:r w:rsidR="00460264" w:rsidRPr="00674960">
              <w:rPr>
                <w:rFonts w:asciiTheme="minorHAnsi" w:hAnsiTheme="minorHAnsi"/>
                <w:color w:val="000000" w:themeColor="text1"/>
              </w:rPr>
              <w:lastRenderedPageBreak/>
              <w:t>čl. </w:t>
            </w:r>
            <w:r w:rsidRPr="00674960">
              <w:rPr>
                <w:rFonts w:asciiTheme="minorHAnsi" w:hAnsiTheme="minorHAnsi"/>
                <w:color w:val="000000" w:themeColor="text1"/>
              </w:rPr>
              <w:t>49 odst. 1</w:t>
            </w:r>
            <w:r w:rsidR="00460264" w:rsidRPr="00674960">
              <w:rPr>
                <w:rFonts w:asciiTheme="minorHAnsi" w:hAnsiTheme="minorHAnsi"/>
                <w:color w:val="000000" w:themeColor="text1"/>
              </w:rPr>
              <w:t xml:space="preserve"> s </w:t>
            </w:r>
            <w:r w:rsidRPr="00674960">
              <w:rPr>
                <w:rFonts w:asciiTheme="minorHAnsi" w:hAnsiTheme="minorHAnsi"/>
                <w:color w:val="000000" w:themeColor="text1"/>
              </w:rPr>
              <w:t xml:space="preserve">výjimkou poslední věty </w:t>
            </w:r>
          </w:p>
        </w:tc>
        <w:tc>
          <w:tcPr>
            <w:tcW w:w="2270" w:type="dxa"/>
          </w:tcPr>
          <w:p w14:paraId="31321EF0" w14:textId="77777777" w:rsidR="007C10F0" w:rsidRPr="00674960" w:rsidRDefault="007C10F0" w:rsidP="00784097">
            <w:pPr>
              <w:autoSpaceDE w:val="0"/>
              <w:autoSpaceDN w:val="0"/>
              <w:adjustRightInd w:val="0"/>
              <w:spacing w:after="120" w:line="276" w:lineRule="auto"/>
              <w:jc w:val="both"/>
              <w:rPr>
                <w:color w:val="000000" w:themeColor="text1"/>
                <w:kern w:val="24"/>
              </w:rPr>
            </w:pPr>
            <w:r w:rsidRPr="00674960">
              <w:rPr>
                <w:rFonts w:asciiTheme="minorHAnsi" w:hAnsiTheme="minorHAnsi"/>
                <w:color w:val="000000" w:themeColor="text1"/>
              </w:rPr>
              <w:lastRenderedPageBreak/>
              <w:t>Článek 7</w:t>
            </w:r>
          </w:p>
        </w:tc>
      </w:tr>
    </w:tbl>
    <w:p w14:paraId="2ED03FEA" w14:textId="77777777" w:rsidR="00674960" w:rsidRDefault="00674960" w:rsidP="00DC593F">
      <w:pPr>
        <w:autoSpaceDE w:val="0"/>
        <w:autoSpaceDN w:val="0"/>
        <w:adjustRightInd w:val="0"/>
        <w:spacing w:after="120" w:line="276" w:lineRule="auto"/>
        <w:jc w:val="both"/>
        <w:rPr>
          <w:color w:val="384575"/>
        </w:rPr>
      </w:pPr>
    </w:p>
    <w:p w14:paraId="3B6F4ED0" w14:textId="5CFB4699" w:rsidR="00DC593F" w:rsidRDefault="00DC593F" w:rsidP="00DC593F">
      <w:pPr>
        <w:autoSpaceDE w:val="0"/>
        <w:autoSpaceDN w:val="0"/>
        <w:adjustRightInd w:val="0"/>
        <w:spacing w:after="120" w:line="276" w:lineRule="auto"/>
        <w:jc w:val="both"/>
        <w:rPr>
          <w:color w:val="384575"/>
        </w:rPr>
      </w:pPr>
      <w:r w:rsidRPr="00674960">
        <w:rPr>
          <w:color w:val="384575"/>
        </w:rPr>
        <w:t>Srovnáním obou nástrojů lze rovněž identifikovat několik práv upravených Listinou, která mají stejný smysl, ale širší rozsah než práva</w:t>
      </w:r>
      <w:r w:rsidR="00460264" w:rsidRPr="00674960">
        <w:rPr>
          <w:color w:val="384575"/>
        </w:rPr>
        <w:t xml:space="preserve"> v </w:t>
      </w:r>
      <w:r w:rsidRPr="00674960">
        <w:rPr>
          <w:color w:val="384575"/>
        </w:rPr>
        <w:t>EÚLP:</w:t>
      </w:r>
    </w:p>
    <w:p w14:paraId="14D5235E" w14:textId="77777777" w:rsidR="00674960" w:rsidRPr="00674960" w:rsidRDefault="00674960" w:rsidP="00DC593F">
      <w:pPr>
        <w:autoSpaceDE w:val="0"/>
        <w:autoSpaceDN w:val="0"/>
        <w:adjustRightInd w:val="0"/>
        <w:spacing w:after="120" w:line="276" w:lineRule="auto"/>
        <w:jc w:val="both"/>
        <w:rPr>
          <w:color w:val="384575"/>
          <w:kern w:val="24"/>
        </w:rPr>
      </w:pPr>
    </w:p>
    <w:tbl>
      <w:tblPr>
        <w:tblStyle w:val="Mkatabulky"/>
        <w:tblW w:w="8222" w:type="dxa"/>
        <w:jc w:val="center"/>
        <w:tblLook w:val="04A0" w:firstRow="1" w:lastRow="0" w:firstColumn="1" w:lastColumn="0" w:noHBand="0" w:noVBand="1"/>
      </w:tblPr>
      <w:tblGrid>
        <w:gridCol w:w="2123"/>
        <w:gridCol w:w="1846"/>
        <w:gridCol w:w="2400"/>
        <w:gridCol w:w="1853"/>
      </w:tblGrid>
      <w:tr w:rsidR="00DB7DF7" w:rsidRPr="00516035" w14:paraId="66861580" w14:textId="77777777" w:rsidTr="00516035">
        <w:trPr>
          <w:jc w:val="center"/>
        </w:trPr>
        <w:tc>
          <w:tcPr>
            <w:tcW w:w="2123" w:type="dxa"/>
            <w:tcBorders>
              <w:top w:val="nil"/>
              <w:left w:val="nil"/>
            </w:tcBorders>
          </w:tcPr>
          <w:p w14:paraId="382F58B4" w14:textId="77777777" w:rsidR="00DB7DF7" w:rsidRPr="007D56D6" w:rsidRDefault="00DB7DF7" w:rsidP="00DB7DF7">
            <w:pPr>
              <w:autoSpaceDE w:val="0"/>
              <w:autoSpaceDN w:val="0"/>
              <w:adjustRightInd w:val="0"/>
              <w:spacing w:after="120" w:line="276" w:lineRule="auto"/>
              <w:jc w:val="both"/>
              <w:rPr>
                <w:rFonts w:asciiTheme="minorHAnsi" w:hAnsiTheme="minorHAnsi" w:cstheme="minorHAnsi"/>
                <w:kern w:val="24"/>
              </w:rPr>
            </w:pPr>
          </w:p>
        </w:tc>
        <w:tc>
          <w:tcPr>
            <w:tcW w:w="1846" w:type="dxa"/>
            <w:shd w:val="clear" w:color="auto" w:fill="B4C6E7" w:themeFill="accent1" w:themeFillTint="66"/>
          </w:tcPr>
          <w:p w14:paraId="0B6AD4C0" w14:textId="77777777" w:rsidR="00DB7DF7" w:rsidRPr="00516035" w:rsidRDefault="00DB7DF7" w:rsidP="00DB7DF7">
            <w:pPr>
              <w:autoSpaceDE w:val="0"/>
              <w:autoSpaceDN w:val="0"/>
              <w:adjustRightInd w:val="0"/>
              <w:spacing w:after="120" w:line="276" w:lineRule="auto"/>
              <w:jc w:val="both"/>
              <w:rPr>
                <w:rFonts w:asciiTheme="minorHAnsi" w:hAnsiTheme="minorHAnsi" w:cstheme="minorHAnsi"/>
                <w:kern w:val="24"/>
              </w:rPr>
            </w:pPr>
            <w:r>
              <w:rPr>
                <w:rFonts w:asciiTheme="minorHAnsi" w:hAnsiTheme="minorHAnsi"/>
                <w:b/>
                <w:i/>
              </w:rPr>
              <w:t>Listina</w:t>
            </w:r>
          </w:p>
        </w:tc>
        <w:tc>
          <w:tcPr>
            <w:tcW w:w="2400" w:type="dxa"/>
            <w:shd w:val="clear" w:color="auto" w:fill="B4C6E7" w:themeFill="accent1" w:themeFillTint="66"/>
          </w:tcPr>
          <w:p w14:paraId="1C7077AF" w14:textId="77777777" w:rsidR="00DB7DF7" w:rsidRPr="00516035" w:rsidRDefault="00DB7DF7" w:rsidP="00DB7DF7">
            <w:pPr>
              <w:autoSpaceDE w:val="0"/>
              <w:autoSpaceDN w:val="0"/>
              <w:adjustRightInd w:val="0"/>
              <w:spacing w:after="120" w:line="276" w:lineRule="auto"/>
              <w:jc w:val="both"/>
              <w:rPr>
                <w:rFonts w:asciiTheme="minorHAnsi" w:hAnsiTheme="minorHAnsi" w:cstheme="minorHAnsi"/>
                <w:kern w:val="24"/>
              </w:rPr>
            </w:pPr>
            <w:r>
              <w:rPr>
                <w:rFonts w:asciiTheme="minorHAnsi" w:hAnsiTheme="minorHAnsi"/>
                <w:b/>
                <w:i/>
              </w:rPr>
              <w:t>Rozsah působnosti</w:t>
            </w:r>
          </w:p>
        </w:tc>
        <w:tc>
          <w:tcPr>
            <w:tcW w:w="1853" w:type="dxa"/>
            <w:shd w:val="clear" w:color="auto" w:fill="B4C6E7" w:themeFill="accent1" w:themeFillTint="66"/>
          </w:tcPr>
          <w:p w14:paraId="21AC3550" w14:textId="77777777" w:rsidR="00DB7DF7" w:rsidRPr="00516035" w:rsidRDefault="00DB7DF7" w:rsidP="00DB7DF7">
            <w:pPr>
              <w:autoSpaceDE w:val="0"/>
              <w:autoSpaceDN w:val="0"/>
              <w:adjustRightInd w:val="0"/>
              <w:spacing w:after="120" w:line="276" w:lineRule="auto"/>
              <w:jc w:val="both"/>
              <w:rPr>
                <w:rFonts w:asciiTheme="minorHAnsi" w:hAnsiTheme="minorHAnsi" w:cstheme="minorHAnsi"/>
                <w:kern w:val="24"/>
              </w:rPr>
            </w:pPr>
            <w:r>
              <w:rPr>
                <w:rFonts w:asciiTheme="minorHAnsi" w:hAnsiTheme="minorHAnsi"/>
                <w:b/>
                <w:i/>
              </w:rPr>
              <w:t>EÚLP</w:t>
            </w:r>
          </w:p>
        </w:tc>
      </w:tr>
      <w:tr w:rsidR="00DB7DF7" w:rsidRPr="00516035" w14:paraId="1A475CDB" w14:textId="77777777" w:rsidTr="00516035">
        <w:trPr>
          <w:jc w:val="center"/>
        </w:trPr>
        <w:tc>
          <w:tcPr>
            <w:tcW w:w="2123" w:type="dxa"/>
          </w:tcPr>
          <w:p w14:paraId="40F3CEBA" w14:textId="77777777" w:rsidR="00DB7DF7" w:rsidRPr="00674960" w:rsidRDefault="00DB7DF7" w:rsidP="00DB7DF7">
            <w:pPr>
              <w:autoSpaceDE w:val="0"/>
              <w:autoSpaceDN w:val="0"/>
              <w:adjustRightInd w:val="0"/>
              <w:spacing w:after="120" w:line="276" w:lineRule="auto"/>
              <w:jc w:val="both"/>
              <w:rPr>
                <w:rFonts w:asciiTheme="minorHAnsi" w:hAnsiTheme="minorHAnsi" w:cstheme="minorHAnsi"/>
                <w:color w:val="000000" w:themeColor="text1"/>
                <w:kern w:val="24"/>
              </w:rPr>
            </w:pPr>
            <w:r w:rsidRPr="00674960">
              <w:rPr>
                <w:rFonts w:asciiTheme="minorHAnsi" w:hAnsiTheme="minorHAnsi"/>
                <w:color w:val="000000" w:themeColor="text1"/>
              </w:rPr>
              <w:t>Právo uzavřít manželství</w:t>
            </w:r>
            <w:r w:rsidR="00460264" w:rsidRPr="00674960">
              <w:rPr>
                <w:rFonts w:asciiTheme="minorHAnsi" w:hAnsiTheme="minorHAnsi"/>
                <w:color w:val="000000" w:themeColor="text1"/>
              </w:rPr>
              <w:t xml:space="preserve"> a </w:t>
            </w:r>
            <w:r w:rsidRPr="00674960">
              <w:rPr>
                <w:rFonts w:asciiTheme="minorHAnsi" w:hAnsiTheme="minorHAnsi"/>
                <w:color w:val="000000" w:themeColor="text1"/>
              </w:rPr>
              <w:t>založit rodinu</w:t>
            </w:r>
          </w:p>
        </w:tc>
        <w:tc>
          <w:tcPr>
            <w:tcW w:w="1846" w:type="dxa"/>
          </w:tcPr>
          <w:p w14:paraId="644E9FBE" w14:textId="77777777" w:rsidR="00DB7DF7" w:rsidRPr="00674960" w:rsidRDefault="00DB7DF7" w:rsidP="00DB7DF7">
            <w:pPr>
              <w:autoSpaceDE w:val="0"/>
              <w:autoSpaceDN w:val="0"/>
              <w:adjustRightInd w:val="0"/>
              <w:spacing w:after="120" w:line="276" w:lineRule="auto"/>
              <w:jc w:val="both"/>
              <w:rPr>
                <w:rFonts w:asciiTheme="minorHAnsi" w:hAnsiTheme="minorHAnsi" w:cstheme="minorHAnsi"/>
                <w:color w:val="000000" w:themeColor="text1"/>
                <w:kern w:val="24"/>
              </w:rPr>
            </w:pPr>
            <w:r w:rsidRPr="00674960">
              <w:rPr>
                <w:rFonts w:asciiTheme="minorHAnsi" w:hAnsiTheme="minorHAnsi"/>
                <w:color w:val="000000" w:themeColor="text1"/>
              </w:rPr>
              <w:t>Článek 9</w:t>
            </w:r>
          </w:p>
        </w:tc>
        <w:tc>
          <w:tcPr>
            <w:tcW w:w="2400" w:type="dxa"/>
          </w:tcPr>
          <w:p w14:paraId="375324A0" w14:textId="77777777" w:rsidR="00DB7DF7" w:rsidRPr="00674960" w:rsidRDefault="00DB7DF7" w:rsidP="00DB7DF7">
            <w:pPr>
              <w:autoSpaceDE w:val="0"/>
              <w:autoSpaceDN w:val="0"/>
              <w:adjustRightInd w:val="0"/>
              <w:spacing w:after="120" w:line="276" w:lineRule="auto"/>
              <w:jc w:val="both"/>
              <w:rPr>
                <w:rFonts w:asciiTheme="minorHAnsi" w:hAnsiTheme="minorHAnsi" w:cstheme="minorHAnsi"/>
                <w:color w:val="000000" w:themeColor="text1"/>
                <w:kern w:val="24"/>
              </w:rPr>
            </w:pPr>
            <w:r w:rsidRPr="00674960">
              <w:rPr>
                <w:rFonts w:asciiTheme="minorHAnsi" w:hAnsiTheme="minorHAnsi"/>
                <w:color w:val="000000" w:themeColor="text1"/>
              </w:rPr>
              <w:t>Možnost rozšíření na jiné formy manželství, pokud</w:t>
            </w:r>
            <w:r w:rsidR="00460264" w:rsidRPr="00674960">
              <w:rPr>
                <w:rFonts w:asciiTheme="minorHAnsi" w:hAnsiTheme="minorHAnsi"/>
                <w:color w:val="000000" w:themeColor="text1"/>
              </w:rPr>
              <w:t xml:space="preserve"> s </w:t>
            </w:r>
            <w:r w:rsidRPr="00674960">
              <w:rPr>
                <w:rFonts w:asciiTheme="minorHAnsi" w:hAnsiTheme="minorHAnsi"/>
                <w:color w:val="000000" w:themeColor="text1"/>
              </w:rPr>
              <w:t>tím počítají vnitrostátní právní předpisy.</w:t>
            </w:r>
          </w:p>
        </w:tc>
        <w:tc>
          <w:tcPr>
            <w:tcW w:w="1853" w:type="dxa"/>
          </w:tcPr>
          <w:p w14:paraId="0BB0D77C" w14:textId="77777777" w:rsidR="00DB7DF7" w:rsidRPr="00674960" w:rsidRDefault="00DB7DF7" w:rsidP="00DB7DF7">
            <w:pPr>
              <w:autoSpaceDE w:val="0"/>
              <w:autoSpaceDN w:val="0"/>
              <w:adjustRightInd w:val="0"/>
              <w:spacing w:after="120" w:line="276" w:lineRule="auto"/>
              <w:jc w:val="both"/>
              <w:rPr>
                <w:rFonts w:asciiTheme="minorHAnsi" w:hAnsiTheme="minorHAnsi" w:cstheme="minorHAnsi"/>
                <w:color w:val="000000" w:themeColor="text1"/>
                <w:kern w:val="24"/>
              </w:rPr>
            </w:pPr>
            <w:r w:rsidRPr="00674960">
              <w:rPr>
                <w:rFonts w:asciiTheme="minorHAnsi" w:hAnsiTheme="minorHAnsi"/>
                <w:color w:val="000000" w:themeColor="text1"/>
              </w:rPr>
              <w:t>Článek 12</w:t>
            </w:r>
          </w:p>
        </w:tc>
      </w:tr>
      <w:tr w:rsidR="00DB7DF7" w:rsidRPr="00516035" w14:paraId="700FD295" w14:textId="77777777" w:rsidTr="00516035">
        <w:trPr>
          <w:jc w:val="center"/>
        </w:trPr>
        <w:tc>
          <w:tcPr>
            <w:tcW w:w="2123" w:type="dxa"/>
          </w:tcPr>
          <w:p w14:paraId="3EC208DD" w14:textId="77777777" w:rsidR="00DB7DF7" w:rsidRPr="00674960" w:rsidRDefault="00DB7DF7" w:rsidP="00DB7DF7">
            <w:pPr>
              <w:autoSpaceDE w:val="0"/>
              <w:autoSpaceDN w:val="0"/>
              <w:adjustRightInd w:val="0"/>
              <w:spacing w:after="120" w:line="276" w:lineRule="auto"/>
              <w:jc w:val="both"/>
              <w:rPr>
                <w:rFonts w:asciiTheme="minorHAnsi" w:hAnsiTheme="minorHAnsi" w:cstheme="minorHAnsi"/>
                <w:color w:val="000000" w:themeColor="text1"/>
                <w:kern w:val="24"/>
              </w:rPr>
            </w:pPr>
            <w:r w:rsidRPr="00674960">
              <w:rPr>
                <w:rFonts w:asciiTheme="minorHAnsi" w:hAnsiTheme="minorHAnsi"/>
                <w:color w:val="000000" w:themeColor="text1"/>
              </w:rPr>
              <w:t>Svoboda shromažďování</w:t>
            </w:r>
            <w:r w:rsidR="00460264" w:rsidRPr="00674960">
              <w:rPr>
                <w:rFonts w:asciiTheme="minorHAnsi" w:hAnsiTheme="minorHAnsi"/>
                <w:color w:val="000000" w:themeColor="text1"/>
              </w:rPr>
              <w:t xml:space="preserve"> a </w:t>
            </w:r>
            <w:r w:rsidRPr="00674960">
              <w:rPr>
                <w:rFonts w:asciiTheme="minorHAnsi" w:hAnsiTheme="minorHAnsi"/>
                <w:color w:val="000000" w:themeColor="text1"/>
              </w:rPr>
              <w:t>sdružování</w:t>
            </w:r>
          </w:p>
        </w:tc>
        <w:tc>
          <w:tcPr>
            <w:tcW w:w="1846" w:type="dxa"/>
          </w:tcPr>
          <w:p w14:paraId="34DACED1" w14:textId="77777777" w:rsidR="00DB7DF7" w:rsidRPr="00674960" w:rsidRDefault="00DB7DF7" w:rsidP="00DB7DF7">
            <w:pPr>
              <w:autoSpaceDE w:val="0"/>
              <w:autoSpaceDN w:val="0"/>
              <w:adjustRightInd w:val="0"/>
              <w:spacing w:after="120" w:line="276" w:lineRule="auto"/>
              <w:jc w:val="both"/>
              <w:rPr>
                <w:rFonts w:asciiTheme="minorHAnsi" w:hAnsiTheme="minorHAnsi" w:cstheme="minorHAnsi"/>
                <w:color w:val="000000" w:themeColor="text1"/>
                <w:kern w:val="24"/>
              </w:rPr>
            </w:pPr>
            <w:r w:rsidRPr="00674960">
              <w:rPr>
                <w:rFonts w:asciiTheme="minorHAnsi" w:hAnsiTheme="minorHAnsi"/>
                <w:color w:val="000000" w:themeColor="text1"/>
              </w:rPr>
              <w:t>Článek 12 odst. 1</w:t>
            </w:r>
          </w:p>
        </w:tc>
        <w:tc>
          <w:tcPr>
            <w:tcW w:w="2400" w:type="dxa"/>
          </w:tcPr>
          <w:p w14:paraId="493CFB2C" w14:textId="77777777" w:rsidR="00DB7DF7" w:rsidRPr="00674960" w:rsidRDefault="00DB7DF7" w:rsidP="00DB7DF7">
            <w:pPr>
              <w:autoSpaceDE w:val="0"/>
              <w:autoSpaceDN w:val="0"/>
              <w:adjustRightInd w:val="0"/>
              <w:spacing w:after="120" w:line="276" w:lineRule="auto"/>
              <w:jc w:val="both"/>
              <w:rPr>
                <w:rFonts w:asciiTheme="minorHAnsi" w:hAnsiTheme="minorHAnsi" w:cstheme="minorHAnsi"/>
                <w:color w:val="000000" w:themeColor="text1"/>
                <w:kern w:val="24"/>
              </w:rPr>
            </w:pPr>
            <w:r w:rsidRPr="00674960">
              <w:rPr>
                <w:rFonts w:asciiTheme="minorHAnsi" w:hAnsiTheme="minorHAnsi"/>
                <w:color w:val="000000" w:themeColor="text1"/>
              </w:rPr>
              <w:t xml:space="preserve">Rozšířen na unijní úroveň </w:t>
            </w:r>
          </w:p>
          <w:p w14:paraId="437C9941" w14:textId="77777777" w:rsidR="00DB7DF7" w:rsidRPr="00674960" w:rsidRDefault="00DB7DF7" w:rsidP="00DB7DF7">
            <w:pPr>
              <w:autoSpaceDE w:val="0"/>
              <w:autoSpaceDN w:val="0"/>
              <w:adjustRightInd w:val="0"/>
              <w:spacing w:after="120" w:line="276" w:lineRule="auto"/>
              <w:jc w:val="both"/>
              <w:rPr>
                <w:rFonts w:asciiTheme="minorHAnsi" w:hAnsiTheme="minorHAnsi" w:cstheme="minorHAnsi"/>
                <w:color w:val="000000" w:themeColor="text1"/>
                <w:kern w:val="24"/>
                <w:lang w:val="en-US"/>
              </w:rPr>
            </w:pPr>
          </w:p>
        </w:tc>
        <w:tc>
          <w:tcPr>
            <w:tcW w:w="1853" w:type="dxa"/>
          </w:tcPr>
          <w:p w14:paraId="1E103D63" w14:textId="77777777" w:rsidR="00DB7DF7" w:rsidRPr="00674960" w:rsidRDefault="00DB7DF7" w:rsidP="00DB7DF7">
            <w:pPr>
              <w:autoSpaceDE w:val="0"/>
              <w:autoSpaceDN w:val="0"/>
              <w:adjustRightInd w:val="0"/>
              <w:spacing w:after="120" w:line="276" w:lineRule="auto"/>
              <w:jc w:val="both"/>
              <w:rPr>
                <w:rFonts w:asciiTheme="minorHAnsi" w:hAnsiTheme="minorHAnsi" w:cstheme="minorHAnsi"/>
                <w:color w:val="000000" w:themeColor="text1"/>
                <w:kern w:val="24"/>
              </w:rPr>
            </w:pPr>
            <w:r w:rsidRPr="00674960">
              <w:rPr>
                <w:rFonts w:asciiTheme="minorHAnsi" w:hAnsiTheme="minorHAnsi"/>
                <w:color w:val="000000" w:themeColor="text1"/>
              </w:rPr>
              <w:t>Článek 11</w:t>
            </w:r>
          </w:p>
        </w:tc>
      </w:tr>
      <w:tr w:rsidR="00DB7DF7" w:rsidRPr="00516035" w14:paraId="736792AE" w14:textId="77777777" w:rsidTr="00516035">
        <w:trPr>
          <w:jc w:val="center"/>
        </w:trPr>
        <w:tc>
          <w:tcPr>
            <w:tcW w:w="2123" w:type="dxa"/>
          </w:tcPr>
          <w:p w14:paraId="2A0E933E" w14:textId="77777777" w:rsidR="00DB7DF7" w:rsidRPr="00674960" w:rsidRDefault="00DB7DF7" w:rsidP="00DB7DF7">
            <w:pPr>
              <w:autoSpaceDE w:val="0"/>
              <w:autoSpaceDN w:val="0"/>
              <w:adjustRightInd w:val="0"/>
              <w:spacing w:after="120" w:line="276" w:lineRule="auto"/>
              <w:jc w:val="both"/>
              <w:rPr>
                <w:rFonts w:asciiTheme="minorHAnsi" w:hAnsiTheme="minorHAnsi" w:cstheme="minorHAnsi"/>
                <w:color w:val="000000" w:themeColor="text1"/>
                <w:kern w:val="24"/>
              </w:rPr>
            </w:pPr>
            <w:r w:rsidRPr="00674960">
              <w:rPr>
                <w:rFonts w:asciiTheme="minorHAnsi" w:hAnsiTheme="minorHAnsi"/>
                <w:color w:val="000000" w:themeColor="text1"/>
              </w:rPr>
              <w:t xml:space="preserve">Právo na vzdělání </w:t>
            </w:r>
          </w:p>
        </w:tc>
        <w:tc>
          <w:tcPr>
            <w:tcW w:w="1846" w:type="dxa"/>
          </w:tcPr>
          <w:p w14:paraId="0C3387C5" w14:textId="77777777" w:rsidR="00DB7DF7" w:rsidRPr="00674960" w:rsidRDefault="00DB7DF7" w:rsidP="00DB7DF7">
            <w:pPr>
              <w:autoSpaceDE w:val="0"/>
              <w:autoSpaceDN w:val="0"/>
              <w:adjustRightInd w:val="0"/>
              <w:spacing w:after="120" w:line="276" w:lineRule="auto"/>
              <w:jc w:val="both"/>
              <w:rPr>
                <w:rFonts w:asciiTheme="minorHAnsi" w:hAnsiTheme="minorHAnsi" w:cstheme="minorHAnsi"/>
                <w:color w:val="000000" w:themeColor="text1"/>
                <w:kern w:val="24"/>
              </w:rPr>
            </w:pPr>
            <w:r w:rsidRPr="00674960">
              <w:rPr>
                <w:rFonts w:asciiTheme="minorHAnsi" w:hAnsiTheme="minorHAnsi"/>
                <w:color w:val="000000" w:themeColor="text1"/>
              </w:rPr>
              <w:t xml:space="preserve">Článek 14 odst. 1 </w:t>
            </w:r>
          </w:p>
        </w:tc>
        <w:tc>
          <w:tcPr>
            <w:tcW w:w="2400" w:type="dxa"/>
          </w:tcPr>
          <w:p w14:paraId="2FEC46AA" w14:textId="77777777" w:rsidR="00DB7DF7" w:rsidRPr="00674960" w:rsidRDefault="00DB7DF7" w:rsidP="00DB7DF7">
            <w:pPr>
              <w:autoSpaceDE w:val="0"/>
              <w:autoSpaceDN w:val="0"/>
              <w:adjustRightInd w:val="0"/>
              <w:spacing w:after="120" w:line="276" w:lineRule="auto"/>
              <w:jc w:val="both"/>
              <w:rPr>
                <w:rFonts w:asciiTheme="minorHAnsi" w:hAnsiTheme="minorHAnsi" w:cstheme="minorHAnsi"/>
                <w:color w:val="000000" w:themeColor="text1"/>
                <w:kern w:val="24"/>
              </w:rPr>
            </w:pPr>
            <w:r w:rsidRPr="00674960">
              <w:rPr>
                <w:rFonts w:asciiTheme="minorHAnsi" w:hAnsiTheme="minorHAnsi"/>
                <w:color w:val="000000" w:themeColor="text1"/>
              </w:rPr>
              <w:t>Přístup</w:t>
            </w:r>
            <w:r w:rsidR="00460264" w:rsidRPr="00674960">
              <w:rPr>
                <w:rFonts w:asciiTheme="minorHAnsi" w:hAnsiTheme="minorHAnsi"/>
                <w:color w:val="000000" w:themeColor="text1"/>
              </w:rPr>
              <w:t xml:space="preserve"> k </w:t>
            </w:r>
            <w:r w:rsidRPr="00674960">
              <w:rPr>
                <w:rFonts w:asciiTheme="minorHAnsi" w:hAnsiTheme="minorHAnsi"/>
                <w:color w:val="000000" w:themeColor="text1"/>
              </w:rPr>
              <w:t>odbornému</w:t>
            </w:r>
            <w:r w:rsidR="00460264" w:rsidRPr="00674960">
              <w:rPr>
                <w:rFonts w:asciiTheme="minorHAnsi" w:hAnsiTheme="minorHAnsi"/>
                <w:color w:val="000000" w:themeColor="text1"/>
              </w:rPr>
              <w:t xml:space="preserve"> a </w:t>
            </w:r>
            <w:r w:rsidRPr="00674960">
              <w:rPr>
                <w:rFonts w:asciiTheme="minorHAnsi" w:hAnsiTheme="minorHAnsi"/>
                <w:color w:val="000000" w:themeColor="text1"/>
              </w:rPr>
              <w:t>dalšímu vzdělávání je rozšířen.</w:t>
            </w:r>
          </w:p>
        </w:tc>
        <w:tc>
          <w:tcPr>
            <w:tcW w:w="1853" w:type="dxa"/>
          </w:tcPr>
          <w:p w14:paraId="165FC725" w14:textId="77777777" w:rsidR="00DB7DF7" w:rsidRPr="00674960" w:rsidRDefault="00DB7DF7" w:rsidP="00DB7DF7">
            <w:pPr>
              <w:autoSpaceDE w:val="0"/>
              <w:autoSpaceDN w:val="0"/>
              <w:adjustRightInd w:val="0"/>
              <w:spacing w:after="120" w:line="276" w:lineRule="auto"/>
              <w:jc w:val="both"/>
              <w:rPr>
                <w:rFonts w:asciiTheme="minorHAnsi" w:hAnsiTheme="minorHAnsi" w:cstheme="minorHAnsi"/>
                <w:color w:val="000000" w:themeColor="text1"/>
                <w:kern w:val="24"/>
              </w:rPr>
            </w:pPr>
            <w:r w:rsidRPr="00674960">
              <w:rPr>
                <w:rFonts w:asciiTheme="minorHAnsi" w:hAnsiTheme="minorHAnsi"/>
                <w:color w:val="000000" w:themeColor="text1"/>
              </w:rPr>
              <w:t>Článek 2 dodatkového protokolu</w:t>
            </w:r>
          </w:p>
        </w:tc>
      </w:tr>
      <w:tr w:rsidR="00DB7DF7" w:rsidRPr="00516035" w14:paraId="40421BD2" w14:textId="77777777" w:rsidTr="00516035">
        <w:trPr>
          <w:jc w:val="center"/>
        </w:trPr>
        <w:tc>
          <w:tcPr>
            <w:tcW w:w="2123" w:type="dxa"/>
          </w:tcPr>
          <w:p w14:paraId="67731EE9" w14:textId="77777777" w:rsidR="00DB7DF7" w:rsidRPr="00674960" w:rsidRDefault="00DB7DF7" w:rsidP="00DB7DF7">
            <w:pPr>
              <w:autoSpaceDE w:val="0"/>
              <w:autoSpaceDN w:val="0"/>
              <w:adjustRightInd w:val="0"/>
              <w:spacing w:after="120" w:line="276" w:lineRule="auto"/>
              <w:jc w:val="both"/>
              <w:rPr>
                <w:rFonts w:asciiTheme="minorHAnsi" w:hAnsiTheme="minorHAnsi" w:cstheme="minorHAnsi"/>
                <w:color w:val="000000" w:themeColor="text1"/>
                <w:kern w:val="24"/>
              </w:rPr>
            </w:pPr>
            <w:r w:rsidRPr="00674960">
              <w:rPr>
                <w:rFonts w:asciiTheme="minorHAnsi" w:hAnsiTheme="minorHAnsi"/>
                <w:color w:val="000000" w:themeColor="text1"/>
              </w:rPr>
              <w:t>Právo na vzdělání</w:t>
            </w:r>
          </w:p>
        </w:tc>
        <w:tc>
          <w:tcPr>
            <w:tcW w:w="1846" w:type="dxa"/>
          </w:tcPr>
          <w:p w14:paraId="4675BAAB" w14:textId="77777777" w:rsidR="00DB7DF7" w:rsidRPr="00674960" w:rsidRDefault="00DB7DF7" w:rsidP="00DB7DF7">
            <w:pPr>
              <w:autoSpaceDE w:val="0"/>
              <w:autoSpaceDN w:val="0"/>
              <w:adjustRightInd w:val="0"/>
              <w:spacing w:after="120" w:line="276" w:lineRule="auto"/>
              <w:jc w:val="both"/>
              <w:rPr>
                <w:rFonts w:asciiTheme="minorHAnsi" w:hAnsiTheme="minorHAnsi" w:cstheme="minorHAnsi"/>
                <w:color w:val="000000" w:themeColor="text1"/>
                <w:kern w:val="24"/>
              </w:rPr>
            </w:pPr>
            <w:r w:rsidRPr="00674960">
              <w:rPr>
                <w:rFonts w:asciiTheme="minorHAnsi" w:hAnsiTheme="minorHAnsi"/>
                <w:color w:val="000000" w:themeColor="text1"/>
              </w:rPr>
              <w:t xml:space="preserve">Článek 14 odst. 3 </w:t>
            </w:r>
          </w:p>
        </w:tc>
        <w:tc>
          <w:tcPr>
            <w:tcW w:w="2400" w:type="dxa"/>
          </w:tcPr>
          <w:p w14:paraId="2D870CC9" w14:textId="77777777" w:rsidR="00DB7DF7" w:rsidRPr="00674960" w:rsidRDefault="00DB7DF7" w:rsidP="00DB7DF7">
            <w:pPr>
              <w:autoSpaceDE w:val="0"/>
              <w:autoSpaceDN w:val="0"/>
              <w:adjustRightInd w:val="0"/>
              <w:spacing w:after="120" w:line="276" w:lineRule="auto"/>
              <w:jc w:val="both"/>
              <w:rPr>
                <w:rFonts w:asciiTheme="minorHAnsi" w:hAnsiTheme="minorHAnsi" w:cstheme="minorHAnsi"/>
                <w:color w:val="000000" w:themeColor="text1"/>
                <w:kern w:val="24"/>
              </w:rPr>
            </w:pPr>
            <w:r w:rsidRPr="00674960">
              <w:rPr>
                <w:rFonts w:asciiTheme="minorHAnsi" w:hAnsiTheme="minorHAnsi"/>
                <w:color w:val="000000" w:themeColor="text1"/>
              </w:rPr>
              <w:t>Týkající se rodičovských práv</w:t>
            </w:r>
          </w:p>
        </w:tc>
        <w:tc>
          <w:tcPr>
            <w:tcW w:w="1853" w:type="dxa"/>
          </w:tcPr>
          <w:p w14:paraId="31024C9E" w14:textId="77777777" w:rsidR="00DB7DF7" w:rsidRPr="00674960" w:rsidRDefault="00DB7DF7" w:rsidP="00DB7DF7">
            <w:pPr>
              <w:autoSpaceDE w:val="0"/>
              <w:autoSpaceDN w:val="0"/>
              <w:adjustRightInd w:val="0"/>
              <w:spacing w:after="120" w:line="276" w:lineRule="auto"/>
              <w:jc w:val="both"/>
              <w:rPr>
                <w:rFonts w:asciiTheme="minorHAnsi" w:hAnsiTheme="minorHAnsi" w:cstheme="minorHAnsi"/>
                <w:color w:val="000000" w:themeColor="text1"/>
                <w:kern w:val="24"/>
              </w:rPr>
            </w:pPr>
            <w:r w:rsidRPr="00674960">
              <w:rPr>
                <w:rFonts w:asciiTheme="minorHAnsi" w:hAnsiTheme="minorHAnsi"/>
                <w:color w:val="000000" w:themeColor="text1"/>
              </w:rPr>
              <w:t>Článek 2 Protokolu</w:t>
            </w:r>
          </w:p>
        </w:tc>
      </w:tr>
      <w:tr w:rsidR="00DB7DF7" w:rsidRPr="00516035" w14:paraId="5D64609C" w14:textId="77777777" w:rsidTr="00516035">
        <w:trPr>
          <w:jc w:val="center"/>
        </w:trPr>
        <w:tc>
          <w:tcPr>
            <w:tcW w:w="2123" w:type="dxa"/>
          </w:tcPr>
          <w:p w14:paraId="433219A3" w14:textId="77777777" w:rsidR="00DB7DF7" w:rsidRPr="00674960" w:rsidRDefault="00561E53" w:rsidP="00DB7DF7">
            <w:pPr>
              <w:autoSpaceDE w:val="0"/>
              <w:autoSpaceDN w:val="0"/>
              <w:adjustRightInd w:val="0"/>
              <w:spacing w:after="120" w:line="276" w:lineRule="auto"/>
              <w:jc w:val="both"/>
              <w:rPr>
                <w:rFonts w:asciiTheme="minorHAnsi" w:hAnsiTheme="minorHAnsi" w:cstheme="minorHAnsi"/>
                <w:color w:val="000000" w:themeColor="text1"/>
                <w:kern w:val="24"/>
              </w:rPr>
            </w:pPr>
            <w:r w:rsidRPr="00674960">
              <w:rPr>
                <w:rFonts w:asciiTheme="minorHAnsi" w:hAnsiTheme="minorHAnsi"/>
                <w:color w:val="000000" w:themeColor="text1"/>
              </w:rPr>
              <w:t>Právo na účinnou právní ochranu</w:t>
            </w:r>
            <w:r w:rsidR="00460264" w:rsidRPr="00674960">
              <w:rPr>
                <w:rFonts w:asciiTheme="minorHAnsi" w:hAnsiTheme="minorHAnsi"/>
                <w:color w:val="000000" w:themeColor="text1"/>
              </w:rPr>
              <w:t xml:space="preserve"> a </w:t>
            </w:r>
            <w:r w:rsidRPr="00674960">
              <w:rPr>
                <w:rFonts w:asciiTheme="minorHAnsi" w:hAnsiTheme="minorHAnsi"/>
                <w:color w:val="000000" w:themeColor="text1"/>
              </w:rPr>
              <w:t>spravedlivý proces</w:t>
            </w:r>
          </w:p>
        </w:tc>
        <w:tc>
          <w:tcPr>
            <w:tcW w:w="1846" w:type="dxa"/>
          </w:tcPr>
          <w:p w14:paraId="740E4D97" w14:textId="77777777" w:rsidR="00DB7DF7" w:rsidRPr="00674960" w:rsidRDefault="00DB7DF7" w:rsidP="00DB7DF7">
            <w:pPr>
              <w:autoSpaceDE w:val="0"/>
              <w:autoSpaceDN w:val="0"/>
              <w:adjustRightInd w:val="0"/>
              <w:spacing w:after="120" w:line="276" w:lineRule="auto"/>
              <w:jc w:val="both"/>
              <w:rPr>
                <w:rFonts w:asciiTheme="minorHAnsi" w:hAnsiTheme="minorHAnsi" w:cstheme="minorHAnsi"/>
                <w:color w:val="000000" w:themeColor="text1"/>
                <w:kern w:val="24"/>
              </w:rPr>
            </w:pPr>
            <w:r w:rsidRPr="00674960">
              <w:rPr>
                <w:rFonts w:asciiTheme="minorHAnsi" w:hAnsiTheme="minorHAnsi"/>
                <w:color w:val="000000" w:themeColor="text1"/>
              </w:rPr>
              <w:t>Článek 47 odst. 2</w:t>
            </w:r>
            <w:r w:rsidR="00460264" w:rsidRPr="00674960">
              <w:rPr>
                <w:rFonts w:asciiTheme="minorHAnsi" w:hAnsiTheme="minorHAnsi"/>
                <w:color w:val="000000" w:themeColor="text1"/>
              </w:rPr>
              <w:t xml:space="preserve"> a </w:t>
            </w:r>
            <w:r w:rsidRPr="00674960">
              <w:rPr>
                <w:rFonts w:asciiTheme="minorHAnsi" w:hAnsiTheme="minorHAnsi"/>
                <w:color w:val="000000" w:themeColor="text1"/>
              </w:rPr>
              <w:t xml:space="preserve">3 </w:t>
            </w:r>
          </w:p>
        </w:tc>
        <w:tc>
          <w:tcPr>
            <w:tcW w:w="2400" w:type="dxa"/>
          </w:tcPr>
          <w:p w14:paraId="63C38FB7" w14:textId="77777777" w:rsidR="00DB7DF7" w:rsidRPr="00674960" w:rsidRDefault="00DB7DF7" w:rsidP="00DB7DF7">
            <w:pPr>
              <w:autoSpaceDE w:val="0"/>
              <w:autoSpaceDN w:val="0"/>
              <w:adjustRightInd w:val="0"/>
              <w:spacing w:after="120" w:line="276" w:lineRule="auto"/>
              <w:jc w:val="both"/>
              <w:rPr>
                <w:rFonts w:asciiTheme="minorHAnsi" w:hAnsiTheme="minorHAnsi" w:cstheme="minorHAnsi"/>
                <w:color w:val="000000" w:themeColor="text1"/>
                <w:kern w:val="24"/>
              </w:rPr>
            </w:pPr>
            <w:r w:rsidRPr="00674960">
              <w:rPr>
                <w:rFonts w:asciiTheme="minorHAnsi" w:hAnsiTheme="minorHAnsi"/>
                <w:color w:val="000000" w:themeColor="text1"/>
              </w:rPr>
              <w:t>V unijním právu se omezení nevztahuje na spory týkající se práv</w:t>
            </w:r>
            <w:r w:rsidR="00460264" w:rsidRPr="00674960">
              <w:rPr>
                <w:rFonts w:asciiTheme="minorHAnsi" w:hAnsiTheme="minorHAnsi"/>
                <w:color w:val="000000" w:themeColor="text1"/>
              </w:rPr>
              <w:t xml:space="preserve"> a </w:t>
            </w:r>
            <w:r w:rsidRPr="00674960">
              <w:rPr>
                <w:rFonts w:asciiTheme="minorHAnsi" w:hAnsiTheme="minorHAnsi"/>
                <w:color w:val="000000" w:themeColor="text1"/>
              </w:rPr>
              <w:t>povinností občanskoprávní povahy nebo na obvinění</w:t>
            </w:r>
            <w:r w:rsidR="00460264" w:rsidRPr="00674960">
              <w:rPr>
                <w:rFonts w:asciiTheme="minorHAnsi" w:hAnsiTheme="minorHAnsi"/>
                <w:color w:val="000000" w:themeColor="text1"/>
              </w:rPr>
              <w:t xml:space="preserve"> v </w:t>
            </w:r>
            <w:r w:rsidRPr="00674960">
              <w:rPr>
                <w:rFonts w:asciiTheme="minorHAnsi" w:hAnsiTheme="minorHAnsi"/>
                <w:color w:val="000000" w:themeColor="text1"/>
              </w:rPr>
              <w:t>trestních věcech.</w:t>
            </w:r>
          </w:p>
        </w:tc>
        <w:tc>
          <w:tcPr>
            <w:tcW w:w="1853" w:type="dxa"/>
          </w:tcPr>
          <w:p w14:paraId="606D550B" w14:textId="77777777" w:rsidR="00DB7DF7" w:rsidRPr="00674960" w:rsidRDefault="00DB7DF7" w:rsidP="00DB7DF7">
            <w:pPr>
              <w:autoSpaceDE w:val="0"/>
              <w:autoSpaceDN w:val="0"/>
              <w:adjustRightInd w:val="0"/>
              <w:spacing w:after="120" w:line="276" w:lineRule="auto"/>
              <w:jc w:val="both"/>
              <w:rPr>
                <w:rFonts w:asciiTheme="minorHAnsi" w:hAnsiTheme="minorHAnsi" w:cstheme="minorHAnsi"/>
                <w:color w:val="000000" w:themeColor="text1"/>
                <w:kern w:val="24"/>
              </w:rPr>
            </w:pPr>
            <w:r w:rsidRPr="00674960">
              <w:rPr>
                <w:rFonts w:asciiTheme="minorHAnsi" w:hAnsiTheme="minorHAnsi"/>
                <w:color w:val="000000" w:themeColor="text1"/>
              </w:rPr>
              <w:t>Článek 6 odst. 1</w:t>
            </w:r>
          </w:p>
        </w:tc>
      </w:tr>
      <w:tr w:rsidR="00DB7DF7" w:rsidRPr="00516035" w14:paraId="3534CE2F" w14:textId="77777777" w:rsidTr="00516035">
        <w:trPr>
          <w:jc w:val="center"/>
        </w:trPr>
        <w:tc>
          <w:tcPr>
            <w:tcW w:w="2123" w:type="dxa"/>
          </w:tcPr>
          <w:p w14:paraId="6EDB23CD" w14:textId="77777777" w:rsidR="00DB7DF7" w:rsidRPr="00674960" w:rsidRDefault="00561E53" w:rsidP="00DB7DF7">
            <w:pPr>
              <w:autoSpaceDE w:val="0"/>
              <w:autoSpaceDN w:val="0"/>
              <w:adjustRightInd w:val="0"/>
              <w:spacing w:after="120" w:line="276" w:lineRule="auto"/>
              <w:jc w:val="both"/>
              <w:rPr>
                <w:rFonts w:asciiTheme="minorHAnsi" w:hAnsiTheme="minorHAnsi" w:cstheme="minorHAnsi"/>
                <w:color w:val="000000" w:themeColor="text1"/>
                <w:kern w:val="24"/>
              </w:rPr>
            </w:pPr>
            <w:r w:rsidRPr="00674960">
              <w:rPr>
                <w:rFonts w:asciiTheme="minorHAnsi" w:hAnsiTheme="minorHAnsi"/>
                <w:color w:val="000000" w:themeColor="text1"/>
              </w:rPr>
              <w:t>Právo nebýt dvakrát trestně stíhán nebo trestán za stejný trestný čin</w:t>
            </w:r>
          </w:p>
        </w:tc>
        <w:tc>
          <w:tcPr>
            <w:tcW w:w="1846" w:type="dxa"/>
          </w:tcPr>
          <w:p w14:paraId="67F95539" w14:textId="77777777" w:rsidR="00DB7DF7" w:rsidRPr="00674960" w:rsidRDefault="00DB7DF7" w:rsidP="00DB7DF7">
            <w:pPr>
              <w:autoSpaceDE w:val="0"/>
              <w:autoSpaceDN w:val="0"/>
              <w:adjustRightInd w:val="0"/>
              <w:spacing w:after="120" w:line="276" w:lineRule="auto"/>
              <w:jc w:val="both"/>
              <w:rPr>
                <w:rFonts w:asciiTheme="minorHAnsi" w:hAnsiTheme="minorHAnsi" w:cstheme="minorHAnsi"/>
                <w:color w:val="000000" w:themeColor="text1"/>
                <w:kern w:val="24"/>
              </w:rPr>
            </w:pPr>
            <w:r w:rsidRPr="00674960">
              <w:rPr>
                <w:rFonts w:asciiTheme="minorHAnsi" w:hAnsiTheme="minorHAnsi"/>
                <w:color w:val="000000" w:themeColor="text1"/>
              </w:rPr>
              <w:t>Článek 50</w:t>
            </w:r>
          </w:p>
        </w:tc>
        <w:tc>
          <w:tcPr>
            <w:tcW w:w="2400" w:type="dxa"/>
          </w:tcPr>
          <w:p w14:paraId="63475F52" w14:textId="77777777" w:rsidR="00DB7DF7" w:rsidRPr="00674960" w:rsidRDefault="00DB7DF7" w:rsidP="00DB7DF7">
            <w:pPr>
              <w:autoSpaceDE w:val="0"/>
              <w:autoSpaceDN w:val="0"/>
              <w:adjustRightInd w:val="0"/>
              <w:spacing w:after="120" w:line="276" w:lineRule="auto"/>
              <w:jc w:val="both"/>
              <w:rPr>
                <w:rFonts w:asciiTheme="minorHAnsi" w:hAnsiTheme="minorHAnsi" w:cstheme="minorHAnsi"/>
                <w:color w:val="000000" w:themeColor="text1"/>
                <w:kern w:val="24"/>
              </w:rPr>
            </w:pPr>
            <w:r w:rsidRPr="00674960">
              <w:rPr>
                <w:rFonts w:asciiTheme="minorHAnsi" w:hAnsiTheme="minorHAnsi"/>
                <w:color w:val="000000" w:themeColor="text1"/>
              </w:rPr>
              <w:t>Jeho působnost je rozšířena mezi orgány podléhající pravomoci členských států.</w:t>
            </w:r>
          </w:p>
        </w:tc>
        <w:tc>
          <w:tcPr>
            <w:tcW w:w="1853" w:type="dxa"/>
          </w:tcPr>
          <w:p w14:paraId="4420B10B" w14:textId="77777777" w:rsidR="00DB7DF7" w:rsidRPr="00674960" w:rsidRDefault="00DB7DF7" w:rsidP="00DB7DF7">
            <w:pPr>
              <w:autoSpaceDE w:val="0"/>
              <w:autoSpaceDN w:val="0"/>
              <w:adjustRightInd w:val="0"/>
              <w:spacing w:after="120" w:line="276" w:lineRule="auto"/>
              <w:jc w:val="both"/>
              <w:rPr>
                <w:rFonts w:asciiTheme="minorHAnsi" w:hAnsiTheme="minorHAnsi" w:cstheme="minorHAnsi"/>
                <w:color w:val="000000" w:themeColor="text1"/>
                <w:kern w:val="24"/>
              </w:rPr>
            </w:pPr>
            <w:r w:rsidRPr="00674960">
              <w:rPr>
                <w:rFonts w:asciiTheme="minorHAnsi" w:hAnsiTheme="minorHAnsi"/>
                <w:color w:val="000000" w:themeColor="text1"/>
              </w:rPr>
              <w:t xml:space="preserve">Článek 4 Protokolu </w:t>
            </w:r>
            <w:r w:rsidR="00460264" w:rsidRPr="00674960">
              <w:rPr>
                <w:rFonts w:asciiTheme="minorHAnsi" w:hAnsiTheme="minorHAnsi"/>
                <w:color w:val="000000" w:themeColor="text1"/>
              </w:rPr>
              <w:t>č. </w:t>
            </w:r>
            <w:r w:rsidRPr="00674960">
              <w:rPr>
                <w:rFonts w:asciiTheme="minorHAnsi" w:hAnsiTheme="minorHAnsi"/>
                <w:color w:val="000000" w:themeColor="text1"/>
              </w:rPr>
              <w:t>7</w:t>
            </w:r>
          </w:p>
        </w:tc>
      </w:tr>
      <w:tr w:rsidR="00DB7DF7" w:rsidRPr="00516035" w14:paraId="0C4F7371" w14:textId="77777777" w:rsidTr="00516035">
        <w:trPr>
          <w:jc w:val="center"/>
        </w:trPr>
        <w:tc>
          <w:tcPr>
            <w:tcW w:w="2123" w:type="dxa"/>
          </w:tcPr>
          <w:p w14:paraId="45D6BD16" w14:textId="77777777" w:rsidR="00DB7DF7" w:rsidRPr="00674960" w:rsidRDefault="003F3035" w:rsidP="00DB7DF7">
            <w:pPr>
              <w:autoSpaceDE w:val="0"/>
              <w:autoSpaceDN w:val="0"/>
              <w:adjustRightInd w:val="0"/>
              <w:spacing w:after="120" w:line="276" w:lineRule="auto"/>
              <w:jc w:val="both"/>
              <w:rPr>
                <w:rFonts w:asciiTheme="minorHAnsi" w:hAnsiTheme="minorHAnsi" w:cstheme="minorHAnsi"/>
                <w:color w:val="000000" w:themeColor="text1"/>
                <w:kern w:val="24"/>
              </w:rPr>
            </w:pPr>
            <w:r w:rsidRPr="00674960">
              <w:rPr>
                <w:rFonts w:asciiTheme="minorHAnsi" w:hAnsiTheme="minorHAnsi"/>
                <w:color w:val="000000" w:themeColor="text1"/>
              </w:rPr>
              <w:t>Občanská práva</w:t>
            </w:r>
          </w:p>
        </w:tc>
        <w:tc>
          <w:tcPr>
            <w:tcW w:w="1846" w:type="dxa"/>
          </w:tcPr>
          <w:p w14:paraId="5A20D0EE" w14:textId="77777777" w:rsidR="00DB7DF7" w:rsidRPr="00674960" w:rsidRDefault="00561E53" w:rsidP="00DB7DF7">
            <w:pPr>
              <w:autoSpaceDE w:val="0"/>
              <w:autoSpaceDN w:val="0"/>
              <w:adjustRightInd w:val="0"/>
              <w:spacing w:after="120" w:line="276" w:lineRule="auto"/>
              <w:jc w:val="both"/>
              <w:rPr>
                <w:rFonts w:asciiTheme="minorHAnsi" w:hAnsiTheme="minorHAnsi" w:cstheme="minorHAnsi"/>
                <w:color w:val="000000" w:themeColor="text1"/>
                <w:kern w:val="24"/>
              </w:rPr>
            </w:pPr>
            <w:r w:rsidRPr="00674960">
              <w:rPr>
                <w:rFonts w:asciiTheme="minorHAnsi" w:hAnsiTheme="minorHAnsi"/>
                <w:color w:val="000000" w:themeColor="text1"/>
              </w:rPr>
              <w:t xml:space="preserve">Článek 39 až 46 </w:t>
            </w:r>
          </w:p>
        </w:tc>
        <w:tc>
          <w:tcPr>
            <w:tcW w:w="2400" w:type="dxa"/>
          </w:tcPr>
          <w:p w14:paraId="37FC0F6E" w14:textId="77777777" w:rsidR="00DB7DF7" w:rsidRPr="00674960" w:rsidRDefault="00DB7DF7" w:rsidP="00DB7DF7">
            <w:pPr>
              <w:autoSpaceDE w:val="0"/>
              <w:autoSpaceDN w:val="0"/>
              <w:adjustRightInd w:val="0"/>
              <w:spacing w:after="120" w:line="276" w:lineRule="auto"/>
              <w:jc w:val="both"/>
              <w:rPr>
                <w:rFonts w:asciiTheme="minorHAnsi" w:hAnsiTheme="minorHAnsi" w:cstheme="minorHAnsi"/>
                <w:color w:val="000000" w:themeColor="text1"/>
                <w:kern w:val="24"/>
              </w:rPr>
            </w:pPr>
            <w:r w:rsidRPr="00674960">
              <w:rPr>
                <w:rFonts w:asciiTheme="minorHAnsi" w:hAnsiTheme="minorHAnsi"/>
                <w:color w:val="000000" w:themeColor="text1"/>
              </w:rPr>
              <w:t>Občané EU nejsou</w:t>
            </w:r>
            <w:r w:rsidR="00460264" w:rsidRPr="00674960">
              <w:rPr>
                <w:rFonts w:asciiTheme="minorHAnsi" w:hAnsiTheme="minorHAnsi"/>
                <w:color w:val="000000" w:themeColor="text1"/>
              </w:rPr>
              <w:t xml:space="preserve"> v </w:t>
            </w:r>
            <w:r w:rsidRPr="00674960">
              <w:rPr>
                <w:rFonts w:asciiTheme="minorHAnsi" w:hAnsiTheme="minorHAnsi"/>
                <w:color w:val="000000" w:themeColor="text1"/>
              </w:rPr>
              <w:t>členských státech považováni za cizince.</w:t>
            </w:r>
          </w:p>
        </w:tc>
        <w:tc>
          <w:tcPr>
            <w:tcW w:w="1853" w:type="dxa"/>
          </w:tcPr>
          <w:p w14:paraId="5BE8C80D" w14:textId="77777777" w:rsidR="00DB7DF7" w:rsidRPr="00674960" w:rsidRDefault="00DB7DF7" w:rsidP="00DB7DF7">
            <w:pPr>
              <w:autoSpaceDE w:val="0"/>
              <w:autoSpaceDN w:val="0"/>
              <w:adjustRightInd w:val="0"/>
              <w:spacing w:after="120" w:line="276" w:lineRule="auto"/>
              <w:jc w:val="both"/>
              <w:rPr>
                <w:rFonts w:asciiTheme="minorHAnsi" w:hAnsiTheme="minorHAnsi" w:cstheme="minorHAnsi"/>
                <w:color w:val="000000" w:themeColor="text1"/>
                <w:kern w:val="24"/>
              </w:rPr>
            </w:pPr>
            <w:r w:rsidRPr="00674960">
              <w:rPr>
                <w:rFonts w:asciiTheme="minorHAnsi" w:hAnsiTheme="minorHAnsi"/>
                <w:color w:val="000000" w:themeColor="text1"/>
              </w:rPr>
              <w:t>Článek 16</w:t>
            </w:r>
          </w:p>
        </w:tc>
      </w:tr>
    </w:tbl>
    <w:p w14:paraId="5F0C6BEC" w14:textId="77777777" w:rsidR="00DC593F" w:rsidRDefault="00DC593F" w:rsidP="00B05272">
      <w:pPr>
        <w:autoSpaceDE w:val="0"/>
        <w:autoSpaceDN w:val="0"/>
        <w:adjustRightInd w:val="0"/>
        <w:spacing w:after="120" w:line="276" w:lineRule="auto"/>
        <w:jc w:val="both"/>
        <w:rPr>
          <w:kern w:val="24"/>
          <w:lang w:val="en-US"/>
        </w:rPr>
      </w:pPr>
    </w:p>
    <w:p w14:paraId="48024F5F" w14:textId="736F49E3" w:rsidR="00516259" w:rsidRPr="00862391" w:rsidRDefault="00516259" w:rsidP="00B05272">
      <w:pPr>
        <w:autoSpaceDE w:val="0"/>
        <w:autoSpaceDN w:val="0"/>
        <w:adjustRightInd w:val="0"/>
        <w:spacing w:after="120" w:line="276" w:lineRule="auto"/>
        <w:jc w:val="both"/>
        <w:rPr>
          <w:color w:val="384575"/>
        </w:rPr>
      </w:pPr>
      <w:r w:rsidRPr="00862391">
        <w:rPr>
          <w:color w:val="384575"/>
        </w:rPr>
        <w:t xml:space="preserve">V případech, kdy Listina poskytuje větší ochranu než EÚLP, ESLP vykládá ustanovení Úmluvy způsobem, který rovněž zvyšuje ochranu lidských práv podle ní. Například ESLP vykládá článek 12 EÚLP extenzivně, přičemž odkazuje na širší ochranu, kterou </w:t>
      </w:r>
      <w:r w:rsidRPr="00862391">
        <w:rPr>
          <w:color w:val="384575"/>
        </w:rPr>
        <w:lastRenderedPageBreak/>
        <w:t>poskytuje Listina, pokud jde</w:t>
      </w:r>
      <w:r w:rsidR="00460264" w:rsidRPr="00862391">
        <w:rPr>
          <w:color w:val="384575"/>
        </w:rPr>
        <w:t xml:space="preserve"> o </w:t>
      </w:r>
      <w:r w:rsidRPr="00862391">
        <w:rPr>
          <w:color w:val="384575"/>
        </w:rPr>
        <w:t>možnost transsexuálních osob uzavřít manželství. Stejně tak ESLP přispívá</w:t>
      </w:r>
      <w:r w:rsidR="00460264" w:rsidRPr="00862391">
        <w:rPr>
          <w:color w:val="384575"/>
        </w:rPr>
        <w:t xml:space="preserve"> k </w:t>
      </w:r>
      <w:r w:rsidRPr="00862391">
        <w:rPr>
          <w:color w:val="384575"/>
        </w:rPr>
        <w:t xml:space="preserve">ochraně unijního práva například tím, že prohlašuje, že pokud vnitrostátní soudy nepředloží SDEU předběžnou otázku, může to představovat porušení </w:t>
      </w:r>
      <w:r w:rsidR="00460264" w:rsidRPr="00862391">
        <w:rPr>
          <w:color w:val="384575"/>
        </w:rPr>
        <w:t>čl. </w:t>
      </w:r>
      <w:r w:rsidRPr="00862391">
        <w:rPr>
          <w:color w:val="384575"/>
        </w:rPr>
        <w:t>6 odst. 1 EÚLP.</w:t>
      </w:r>
    </w:p>
    <w:p w14:paraId="213BC538" w14:textId="77777777" w:rsidR="00862391" w:rsidRPr="00C61069" w:rsidRDefault="00862391" w:rsidP="00B05272">
      <w:pPr>
        <w:autoSpaceDE w:val="0"/>
        <w:autoSpaceDN w:val="0"/>
        <w:adjustRightInd w:val="0"/>
        <w:spacing w:after="120" w:line="276" w:lineRule="auto"/>
        <w:jc w:val="both"/>
        <w:rPr>
          <w:kern w:val="24"/>
        </w:rPr>
      </w:pPr>
    </w:p>
    <w:p w14:paraId="1BABC9CE" w14:textId="77777777" w:rsidR="00505929" w:rsidRPr="00C61069" w:rsidRDefault="00000000" w:rsidP="00C61069">
      <w:pPr>
        <w:pStyle w:val="Odstavecseseznamem"/>
        <w:numPr>
          <w:ilvl w:val="1"/>
          <w:numId w:val="1"/>
        </w:numPr>
        <w:spacing w:after="120" w:line="276" w:lineRule="auto"/>
        <w:ind w:left="567" w:hanging="567"/>
        <w:contextualSpacing w:val="0"/>
        <w:jc w:val="both"/>
        <w:rPr>
          <w:b/>
          <w:color w:val="B6A04C"/>
          <w:sz w:val="32"/>
          <w:szCs w:val="32"/>
        </w:rPr>
      </w:pPr>
      <w:r>
        <w:rPr>
          <w:rFonts w:ascii="Courier New" w:hAnsi="Courier New" w:cs="Courier New"/>
          <w:sz w:val="20"/>
          <w:szCs w:val="20"/>
        </w:rPr>
        <w:pict w14:anchorId="04442616">
          <v:rect id="_x0000_s1030" style="position:absolute;left:0;text-align:left;margin-left:467.45pt;margin-top:16pt;width:142.45pt;height:144.35pt;z-index:251664384;visibility:visible;mso-wrap-distance-left:36pt;mso-wrap-distance-right:9.35pt;mso-position-horizontal:right;mso-position-horizontal-relative:margin;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UrgWNgIAAI4EAAAOAAAAZHJzL2Uyb0RvYy54bWysVMlu2zAQvRfoPxC8N5JSO3EEy0HgIEWB&#10;dEHTfgBNUUtLcdghbcn9+gwpWTFaoIeiF4HD4XuzvdH6dug0Oyh0LZiCZxcpZ8pIKFtTF/zb14c3&#10;K86cF6YUGowq+FE5frt5/Wrd21xdQgO6VMiIxLi8twVvvLd5kjjZqE64C7DKkLMC7IQnE+ukRNET&#10;e6eTyzS9SnrA0iJI5Rzd3o9Ovon8VaWk/1RVTnmmC065+fjF+N2Fb7JZi7xGYZtWTmmIf8iiE62h&#10;oDPVvfCC7bH9g6prJYKDyl9I6BKoqlaqWANVk6W/VfPUCKtiLdQcZ+c2uf9HKz8enuxnDKk7+wjy&#10;h2MGto0wtbpDhL5RoqRwWWhU0luXz4BgOIKyXf8BShqt2HuIPRgq7AIhVceG2Orj3Go1eCbpMrte&#10;LW5WS84k+bLl1WqxjMNIRH6CW3T+nYKOhUPBkWYZ6cXh0fmQjshPT0I0Aw+t1nGe2rA+sK6ulxEx&#10;uwiizVRIyD3IhKrwR60ChTZfVMXaMiYdWyKx3m01slExJGnS0Ek3kYwA4WFFoWdslqZvY9yoYhXw&#10;B0H6035s4/w8IFUU6YxNJ+Df486gGBuMn/Gd+A44D2uqLBTph91ApRV8EbzhZgflkcaHMC4FLTEd&#10;GsBfnPW0EAV3P/cCFWf6vSEJ3GSLRdigcwPPjd25IYwkqoJ7zsbj1o893Fts64YiZdNo7kg2VRsH&#10;+pLVNCMSfZzztKBhq87t+OrlN7J5BgAA//8DAFBLAwQUAAYACAAAACEAznTWB98AAAAKAQAADwAA&#10;AGRycy9kb3ducmV2LnhtbEyPzU7DMBCE70i8g7VI3KjzAzRK41QIhMSlQhTUsxMvTiBeR7Gbpm/P&#10;coLLalejmZ2v2i5uEDNOofekIF0lIJBab3qyCj7en28KECFqMnrwhArOGGBbX15UujT+RG8476MV&#10;HEKh1Aq6GMdSytB26HRY+RGJtU8/OR35nKw0kz5xuBtkliT30ume+EOnR3zssP3eH52CmDR2Z++K&#10;OOX4dTj7bH7Ru1elrq+Wpw2Phw2IiEv8c8AvA/eHmos1/kgmiEEB00QFOQjWsiJNQTS83K5zkHUl&#10;/yPUPwAAAP//AwBQSwECLQAUAAYACAAAACEAtoM4kv4AAADhAQAAEwAAAAAAAAAAAAAAAAAAAAAA&#10;W0NvbnRlbnRfVHlwZXNdLnhtbFBLAQItABQABgAIAAAAIQA4/SH/1gAAAJQBAAALAAAAAAAAAAAA&#10;AAAAAC8BAABfcmVscy8ucmVsc1BLAQItABQABgAIAAAAIQC8UrgWNgIAAI4EAAAOAAAAAAAAAAAA&#10;AAAAAC4CAABkcnMvZTJvRG9jLnhtbFBLAQItABQABgAIAAAAIQDOdNYH3wAAAAoBAAAPAAAAAAAA&#10;AAAAAAAAAJAEAABkcnMvZG93bnJldi54bWxQSwUGAAAAAAQABADzAAAAnAUAAAAACkFBQUFBQUFB&#10;QUpBRUFBQmtjbk1=&#10;" o:allowincell="f" filled="f" stroked="f" strokeweight="1.25pt">
            <v:textbox inset=",7.2pt,,7.2pt">
              <w:txbxContent>
                <w:p w14:paraId="6FAB198C" w14:textId="77777777" w:rsidR="0048041D" w:rsidRPr="00CE3A0F" w:rsidRDefault="0048041D" w:rsidP="00CE3A0F">
                  <w:pPr>
                    <w:pBdr>
                      <w:left w:val="single" w:sz="4" w:space="9" w:color="4472C4" w:themeColor="accent1"/>
                    </w:pBdr>
                    <w:rPr>
                      <w:rFonts w:asciiTheme="majorHAnsi" w:eastAsiaTheme="majorEastAsia" w:hAnsiTheme="majorHAnsi" w:cstheme="majorBidi"/>
                      <w:color w:val="2F5496" w:themeColor="accent1" w:themeShade="BF"/>
                      <w:sz w:val="36"/>
                      <w:szCs w:val="36"/>
                    </w:rPr>
                  </w:pPr>
                  <w:r>
                    <w:rPr>
                      <w:rFonts w:asciiTheme="majorHAnsi" w:hAnsiTheme="majorHAnsi"/>
                      <w:color w:val="2F5496" w:themeColor="accent1" w:themeShade="BF"/>
                      <w:sz w:val="36"/>
                    </w:rPr>
                    <w:t>Právní předpisy EU</w:t>
                  </w:r>
                </w:p>
                <w:p w14:paraId="11FFEFFF" w14:textId="77777777" w:rsidR="0048041D" w:rsidRPr="00CE3A0F" w:rsidRDefault="0048041D" w:rsidP="00CE3A0F">
                  <w:pPr>
                    <w:pBdr>
                      <w:left w:val="single" w:sz="4" w:space="9" w:color="4472C4" w:themeColor="accent1"/>
                    </w:pBdr>
                    <w:jc w:val="both"/>
                    <w:rPr>
                      <w:color w:val="2F5496" w:themeColor="accent1" w:themeShade="BF"/>
                      <w:sz w:val="20"/>
                      <w:szCs w:val="20"/>
                    </w:rPr>
                  </w:pPr>
                  <w:r>
                    <w:rPr>
                      <w:color w:val="2F5496" w:themeColor="accent1" w:themeShade="BF"/>
                      <w:sz w:val="20"/>
                    </w:rPr>
                    <w:t>musí být vykládány s ohledem na základní práva EU, a pokud lze smysl těchto právních předpisů vykládat různě, musí být upřednostněn výklad, který je nejvíce v souladu se základními právy EU.</w:t>
                  </w:r>
                </w:p>
              </w:txbxContent>
            </v:textbox>
            <w10:wrap type="square" anchorx="margin"/>
          </v:rect>
        </w:pict>
      </w:r>
      <w:r w:rsidR="003F3035">
        <w:rPr>
          <w:b/>
        </w:rPr>
        <w:t xml:space="preserve"> </w:t>
      </w:r>
      <w:r w:rsidR="0048041D">
        <w:rPr>
          <w:b/>
        </w:rPr>
        <w:tab/>
      </w:r>
      <w:r w:rsidR="003F3035" w:rsidRPr="00C61069">
        <w:rPr>
          <w:b/>
          <w:color w:val="B6A04C"/>
          <w:sz w:val="32"/>
          <w:szCs w:val="32"/>
        </w:rPr>
        <w:t>Soudní spory</w:t>
      </w:r>
      <w:r w:rsidR="00460264" w:rsidRPr="00C61069">
        <w:rPr>
          <w:b/>
          <w:color w:val="B6A04C"/>
          <w:sz w:val="32"/>
          <w:szCs w:val="32"/>
        </w:rPr>
        <w:t xml:space="preserve"> a </w:t>
      </w:r>
      <w:r w:rsidR="003F3035" w:rsidRPr="00C61069">
        <w:rPr>
          <w:b/>
          <w:color w:val="B6A04C"/>
          <w:sz w:val="32"/>
          <w:szCs w:val="32"/>
        </w:rPr>
        <w:t>Listina</w:t>
      </w:r>
    </w:p>
    <w:p w14:paraId="28699298" w14:textId="77777777" w:rsidR="00566271" w:rsidRPr="00862391" w:rsidRDefault="00566271" w:rsidP="00F37B27">
      <w:pPr>
        <w:pStyle w:val="FormtovanvHTML"/>
        <w:spacing w:after="120" w:line="276" w:lineRule="auto"/>
        <w:jc w:val="both"/>
        <w:rPr>
          <w:rStyle w:val="y2iqfc"/>
          <w:rFonts w:ascii="Times New Roman" w:hAnsi="Times New Roman" w:cs="Times New Roman"/>
          <w:color w:val="384575"/>
          <w:sz w:val="24"/>
          <w:szCs w:val="24"/>
        </w:rPr>
      </w:pPr>
      <w:r w:rsidRPr="00862391">
        <w:rPr>
          <w:rStyle w:val="y2iqfc"/>
          <w:rFonts w:ascii="Times New Roman" w:hAnsi="Times New Roman"/>
          <w:color w:val="384575"/>
          <w:sz w:val="24"/>
        </w:rPr>
        <w:t>Ochrana základních práv přináší pro vnitrostátní soudy různé výzvy. Možnost uplatnění Listiny znamená, že vnitrostátní soudce musí určit její rozsah, smysl</w:t>
      </w:r>
      <w:r w:rsidR="00460264" w:rsidRPr="00862391">
        <w:rPr>
          <w:rStyle w:val="y2iqfc"/>
          <w:rFonts w:ascii="Times New Roman" w:hAnsi="Times New Roman"/>
          <w:color w:val="384575"/>
          <w:sz w:val="24"/>
        </w:rPr>
        <w:t xml:space="preserve"> a </w:t>
      </w:r>
      <w:r w:rsidRPr="00862391">
        <w:rPr>
          <w:rStyle w:val="y2iqfc"/>
          <w:rFonts w:ascii="Times New Roman" w:hAnsi="Times New Roman"/>
          <w:color w:val="384575"/>
          <w:sz w:val="24"/>
        </w:rPr>
        <w:t>přesnou úroveň ochrany. Kromě toho, co je stanoveno</w:t>
      </w:r>
      <w:r w:rsidR="00460264" w:rsidRPr="00862391">
        <w:rPr>
          <w:rStyle w:val="y2iqfc"/>
          <w:rFonts w:ascii="Times New Roman" w:hAnsi="Times New Roman"/>
          <w:color w:val="384575"/>
          <w:sz w:val="24"/>
        </w:rPr>
        <w:t xml:space="preserve"> v </w:t>
      </w:r>
      <w:r w:rsidRPr="00862391">
        <w:rPr>
          <w:rStyle w:val="y2iqfc"/>
          <w:rFonts w:ascii="Times New Roman" w:hAnsi="Times New Roman"/>
          <w:color w:val="384575"/>
          <w:sz w:val="24"/>
        </w:rPr>
        <w:t>článku Listiny, je nezbytné dostatečně znát judikaturu Soudního dvora Evropské unie. Respektování</w:t>
      </w:r>
      <w:r w:rsidR="00460264" w:rsidRPr="00862391">
        <w:rPr>
          <w:rStyle w:val="y2iqfc"/>
          <w:rFonts w:ascii="Times New Roman" w:hAnsi="Times New Roman"/>
          <w:color w:val="384575"/>
          <w:sz w:val="24"/>
        </w:rPr>
        <w:t xml:space="preserve"> a </w:t>
      </w:r>
      <w:r w:rsidRPr="00862391">
        <w:rPr>
          <w:rStyle w:val="y2iqfc"/>
          <w:rFonts w:ascii="Times New Roman" w:hAnsi="Times New Roman"/>
          <w:color w:val="384575"/>
          <w:sz w:val="24"/>
        </w:rPr>
        <w:t>správné uplatňování Listiny</w:t>
      </w:r>
      <w:r w:rsidR="00460264" w:rsidRPr="00862391">
        <w:rPr>
          <w:rStyle w:val="y2iqfc"/>
          <w:rFonts w:ascii="Times New Roman" w:hAnsi="Times New Roman"/>
          <w:color w:val="384575"/>
          <w:sz w:val="24"/>
        </w:rPr>
        <w:t xml:space="preserve"> v </w:t>
      </w:r>
      <w:r w:rsidRPr="00862391">
        <w:rPr>
          <w:rStyle w:val="y2iqfc"/>
          <w:rFonts w:ascii="Times New Roman" w:hAnsi="Times New Roman"/>
          <w:color w:val="384575"/>
          <w:sz w:val="24"/>
        </w:rPr>
        <w:t>rámci EU je totiž</w:t>
      </w:r>
      <w:r w:rsidR="00460264" w:rsidRPr="00862391">
        <w:rPr>
          <w:rStyle w:val="y2iqfc"/>
          <w:rFonts w:ascii="Times New Roman" w:hAnsi="Times New Roman"/>
          <w:color w:val="384575"/>
          <w:sz w:val="24"/>
        </w:rPr>
        <w:t xml:space="preserve"> v </w:t>
      </w:r>
      <w:r w:rsidRPr="00862391">
        <w:rPr>
          <w:rStyle w:val="y2iqfc"/>
          <w:rFonts w:ascii="Times New Roman" w:hAnsi="Times New Roman"/>
          <w:color w:val="384575"/>
          <w:sz w:val="24"/>
        </w:rPr>
        <w:t>zásadě zajištěno prostřednictvím soudní kontroly SDEU. Ačkoli neexistuje žádný konkrétní přímý prostředek ochrany práv</w:t>
      </w:r>
      <w:r w:rsidR="00460264" w:rsidRPr="00862391">
        <w:rPr>
          <w:rStyle w:val="y2iqfc"/>
          <w:rFonts w:ascii="Times New Roman" w:hAnsi="Times New Roman"/>
          <w:color w:val="384575"/>
          <w:sz w:val="24"/>
        </w:rPr>
        <w:t xml:space="preserve"> a </w:t>
      </w:r>
      <w:r w:rsidRPr="00862391">
        <w:rPr>
          <w:rStyle w:val="y2iqfc"/>
          <w:rFonts w:ascii="Times New Roman" w:hAnsi="Times New Roman"/>
          <w:color w:val="384575"/>
          <w:sz w:val="24"/>
        </w:rPr>
        <w:t>svobod uznaný</w:t>
      </w:r>
      <w:r w:rsidR="00460264" w:rsidRPr="00862391">
        <w:rPr>
          <w:rStyle w:val="y2iqfc"/>
          <w:rFonts w:ascii="Times New Roman" w:hAnsi="Times New Roman"/>
          <w:color w:val="384575"/>
          <w:sz w:val="24"/>
        </w:rPr>
        <w:t xml:space="preserve"> v </w:t>
      </w:r>
      <w:r w:rsidRPr="00862391">
        <w:rPr>
          <w:rStyle w:val="y2iqfc"/>
          <w:rFonts w:ascii="Times New Roman" w:hAnsi="Times New Roman"/>
          <w:color w:val="384575"/>
          <w:sz w:val="24"/>
        </w:rPr>
        <w:t>Listině, SDEU je</w:t>
      </w:r>
      <w:r w:rsidR="00460264" w:rsidRPr="00862391">
        <w:rPr>
          <w:rStyle w:val="y2iqfc"/>
          <w:rFonts w:ascii="Times New Roman" w:hAnsi="Times New Roman"/>
          <w:color w:val="384575"/>
          <w:sz w:val="24"/>
        </w:rPr>
        <w:t xml:space="preserve"> v </w:t>
      </w:r>
      <w:r w:rsidRPr="00862391">
        <w:rPr>
          <w:rStyle w:val="y2iqfc"/>
          <w:rFonts w:ascii="Times New Roman" w:hAnsi="Times New Roman"/>
          <w:color w:val="384575"/>
          <w:sz w:val="24"/>
        </w:rPr>
        <w:t>rámci svého systému žalob oprávněn vykládat</w:t>
      </w:r>
      <w:r w:rsidR="00460264" w:rsidRPr="00862391">
        <w:rPr>
          <w:rStyle w:val="y2iqfc"/>
          <w:rFonts w:ascii="Times New Roman" w:hAnsi="Times New Roman"/>
          <w:color w:val="384575"/>
          <w:sz w:val="24"/>
        </w:rPr>
        <w:t xml:space="preserve"> a </w:t>
      </w:r>
      <w:r w:rsidRPr="00862391">
        <w:rPr>
          <w:rStyle w:val="y2iqfc"/>
          <w:rFonts w:ascii="Times New Roman" w:hAnsi="Times New Roman"/>
          <w:color w:val="384575"/>
          <w:sz w:val="24"/>
        </w:rPr>
        <w:t>kontrolovat její správné uplatňování jak členskými státy, tak všemi orgány</w:t>
      </w:r>
      <w:r w:rsidR="00460264" w:rsidRPr="00862391">
        <w:rPr>
          <w:rStyle w:val="y2iqfc"/>
          <w:rFonts w:ascii="Times New Roman" w:hAnsi="Times New Roman"/>
          <w:color w:val="384575"/>
          <w:sz w:val="24"/>
        </w:rPr>
        <w:t xml:space="preserve"> a </w:t>
      </w:r>
      <w:r w:rsidRPr="00862391">
        <w:rPr>
          <w:rStyle w:val="y2iqfc"/>
          <w:rFonts w:ascii="Times New Roman" w:hAnsi="Times New Roman"/>
          <w:color w:val="384575"/>
          <w:sz w:val="24"/>
        </w:rPr>
        <w:t>subjekty Unie. Kromě toho má vnitrostátní soudce</w:t>
      </w:r>
      <w:r w:rsidR="00460264" w:rsidRPr="00862391">
        <w:rPr>
          <w:rStyle w:val="y2iqfc"/>
          <w:rFonts w:ascii="Times New Roman" w:hAnsi="Times New Roman"/>
          <w:color w:val="384575"/>
          <w:sz w:val="24"/>
        </w:rPr>
        <w:t xml:space="preserve"> v </w:t>
      </w:r>
      <w:r w:rsidRPr="00862391">
        <w:rPr>
          <w:rStyle w:val="y2iqfc"/>
          <w:rFonts w:ascii="Times New Roman" w:hAnsi="Times New Roman"/>
          <w:color w:val="384575"/>
          <w:sz w:val="24"/>
        </w:rPr>
        <w:t>souladu se zásadou přednosti povinnost zajistit účinné uplatňování práva Evropské unie.</w:t>
      </w:r>
    </w:p>
    <w:p w14:paraId="752991E1" w14:textId="77777777" w:rsidR="00566271" w:rsidRPr="00862391" w:rsidRDefault="00566271" w:rsidP="00E57788">
      <w:pPr>
        <w:spacing w:after="120" w:line="276" w:lineRule="auto"/>
        <w:jc w:val="both"/>
        <w:rPr>
          <w:color w:val="384575"/>
        </w:rPr>
      </w:pPr>
      <w:r w:rsidRPr="00862391">
        <w:rPr>
          <w:rStyle w:val="y2iqfc"/>
          <w:color w:val="384575"/>
        </w:rPr>
        <w:t>Ve věcech, které se dotýkají základních práv, je úloha advokáta při jejich ochraně zásadní. Aktivní advokát se znalostí mezinárodních systémů ochrany práv může pro vyřešení věci hrát zásadní úlohu. Vzhledem</w:t>
      </w:r>
      <w:r w:rsidR="00460264" w:rsidRPr="00862391">
        <w:rPr>
          <w:rStyle w:val="y2iqfc"/>
          <w:color w:val="384575"/>
        </w:rPr>
        <w:t xml:space="preserve"> k </w:t>
      </w:r>
      <w:r w:rsidRPr="00862391">
        <w:rPr>
          <w:rStyle w:val="y2iqfc"/>
          <w:color w:val="384575"/>
        </w:rPr>
        <w:t>tomu, že se jedná</w:t>
      </w:r>
      <w:r w:rsidR="00460264" w:rsidRPr="00862391">
        <w:rPr>
          <w:rStyle w:val="y2iqfc"/>
          <w:color w:val="384575"/>
        </w:rPr>
        <w:t xml:space="preserve"> o </w:t>
      </w:r>
      <w:r w:rsidRPr="00862391">
        <w:rPr>
          <w:rStyle w:val="y2iqfc"/>
          <w:color w:val="384575"/>
        </w:rPr>
        <w:t xml:space="preserve">práva, je možné, že věc spadá jak do působnosti EU, tak do působnosti Rady Evropy. </w:t>
      </w:r>
      <w:r w:rsidRPr="00862391">
        <w:rPr>
          <w:color w:val="384575"/>
        </w:rPr>
        <w:t>Na rozdíl od Evropské úmluvy</w:t>
      </w:r>
      <w:r w:rsidR="00460264" w:rsidRPr="00862391">
        <w:rPr>
          <w:color w:val="384575"/>
        </w:rPr>
        <w:t xml:space="preserve"> o </w:t>
      </w:r>
      <w:r w:rsidRPr="00862391">
        <w:rPr>
          <w:color w:val="384575"/>
        </w:rPr>
        <w:t>lidských právech nabízí unijní právo možnost využít výklad unijního práva přímo prostřednictvím předložení žádosti</w:t>
      </w:r>
      <w:r w:rsidR="00460264" w:rsidRPr="00862391">
        <w:rPr>
          <w:color w:val="384575"/>
        </w:rPr>
        <w:t xml:space="preserve"> o </w:t>
      </w:r>
      <w:r w:rsidRPr="00862391">
        <w:rPr>
          <w:color w:val="384575"/>
        </w:rPr>
        <w:t>rozhodnutí</w:t>
      </w:r>
      <w:r w:rsidR="00460264" w:rsidRPr="00862391">
        <w:rPr>
          <w:color w:val="384575"/>
        </w:rPr>
        <w:t xml:space="preserve"> o </w:t>
      </w:r>
      <w:r w:rsidRPr="00862391">
        <w:rPr>
          <w:color w:val="384575"/>
        </w:rPr>
        <w:t>předběžné otázce, aniž by bylo nutné vyčerpat vnitrostátní opravné prostředky.</w:t>
      </w:r>
      <w:r w:rsidRPr="00862391">
        <w:rPr>
          <w:rStyle w:val="y2iqfc"/>
          <w:color w:val="384575"/>
        </w:rPr>
        <w:t xml:space="preserve"> Advokát proto bude muset posoudit vzájemné vztahy mezi těmito dvěma systémy.</w:t>
      </w:r>
      <w:r w:rsidR="00460264" w:rsidRPr="00862391">
        <w:rPr>
          <w:rStyle w:val="y2iqfc"/>
          <w:color w:val="384575"/>
        </w:rPr>
        <w:t xml:space="preserve"> V </w:t>
      </w:r>
      <w:r w:rsidRPr="00862391">
        <w:rPr>
          <w:rStyle w:val="y2iqfc"/>
          <w:color w:val="384575"/>
        </w:rPr>
        <w:t>tomto ohledu je třeba, kdykoli je to možné, předložit vnitrostátnímu soudci podrobnou analýzu</w:t>
      </w:r>
      <w:r w:rsidR="00460264" w:rsidRPr="00862391">
        <w:rPr>
          <w:rStyle w:val="y2iqfc"/>
          <w:color w:val="384575"/>
        </w:rPr>
        <w:t xml:space="preserve"> s </w:t>
      </w:r>
      <w:r w:rsidRPr="00862391">
        <w:rPr>
          <w:rStyle w:val="y2iqfc"/>
          <w:color w:val="384575"/>
        </w:rPr>
        <w:t>cílem určit rozsah, smysl</w:t>
      </w:r>
      <w:r w:rsidR="00460264" w:rsidRPr="00862391">
        <w:rPr>
          <w:rStyle w:val="y2iqfc"/>
          <w:color w:val="384575"/>
        </w:rPr>
        <w:t xml:space="preserve"> a </w:t>
      </w:r>
      <w:r w:rsidRPr="00862391">
        <w:rPr>
          <w:rStyle w:val="y2iqfc"/>
          <w:color w:val="384575"/>
        </w:rPr>
        <w:t>úroveň ochrany dotčených základních práv.</w:t>
      </w:r>
    </w:p>
    <w:p w14:paraId="56CE5B93" w14:textId="77777777" w:rsidR="00566271" w:rsidRPr="00862391" w:rsidRDefault="00566271" w:rsidP="00F37B27">
      <w:pPr>
        <w:pStyle w:val="FormtovanvHTML"/>
        <w:spacing w:after="120" w:line="276" w:lineRule="auto"/>
        <w:jc w:val="both"/>
        <w:rPr>
          <w:rStyle w:val="y2iqfc"/>
          <w:rFonts w:ascii="Times New Roman" w:hAnsi="Times New Roman" w:cs="Times New Roman"/>
          <w:color w:val="384575"/>
          <w:sz w:val="24"/>
          <w:szCs w:val="24"/>
        </w:rPr>
      </w:pPr>
      <w:r w:rsidRPr="00862391">
        <w:rPr>
          <w:rStyle w:val="y2iqfc"/>
          <w:rFonts w:ascii="Times New Roman" w:hAnsi="Times New Roman"/>
          <w:color w:val="384575"/>
          <w:sz w:val="24"/>
        </w:rPr>
        <w:t>S ohledem na možnost uplatnění Listiny by měl advokát soudu předložit pádné argumenty,</w:t>
      </w:r>
      <w:r w:rsidR="00460264" w:rsidRPr="00862391">
        <w:rPr>
          <w:rStyle w:val="y2iqfc"/>
          <w:rFonts w:ascii="Times New Roman" w:hAnsi="Times New Roman"/>
          <w:color w:val="384575"/>
          <w:sz w:val="24"/>
        </w:rPr>
        <w:t xml:space="preserve"> v </w:t>
      </w:r>
      <w:proofErr w:type="gramStart"/>
      <w:r w:rsidRPr="00862391">
        <w:rPr>
          <w:rStyle w:val="y2iqfc"/>
          <w:rFonts w:ascii="Times New Roman" w:hAnsi="Times New Roman"/>
          <w:color w:val="384575"/>
          <w:sz w:val="24"/>
        </w:rPr>
        <w:t>rámci</w:t>
      </w:r>
      <w:proofErr w:type="gramEnd"/>
      <w:r w:rsidRPr="00862391">
        <w:rPr>
          <w:rStyle w:val="y2iqfc"/>
          <w:rFonts w:ascii="Times New Roman" w:hAnsi="Times New Roman"/>
          <w:color w:val="384575"/>
          <w:sz w:val="24"/>
        </w:rPr>
        <w:t xml:space="preserve"> nichž jasně uvede, která evropská ustanovení by Listinu „aktivovala“</w:t>
      </w:r>
      <w:r w:rsidR="00460264" w:rsidRPr="00862391">
        <w:rPr>
          <w:rStyle w:val="y2iqfc"/>
          <w:rFonts w:ascii="Times New Roman" w:hAnsi="Times New Roman"/>
          <w:color w:val="384575"/>
          <w:sz w:val="24"/>
        </w:rPr>
        <w:t xml:space="preserve"> a </w:t>
      </w:r>
      <w:r w:rsidRPr="00862391">
        <w:rPr>
          <w:rStyle w:val="y2iqfc"/>
          <w:rFonts w:ascii="Times New Roman" w:hAnsi="Times New Roman"/>
          <w:color w:val="384575"/>
          <w:sz w:val="24"/>
        </w:rPr>
        <w:t>jak by měla být vykládána</w:t>
      </w:r>
      <w:r w:rsidR="00460264" w:rsidRPr="00862391">
        <w:rPr>
          <w:rStyle w:val="y2iqfc"/>
          <w:rFonts w:ascii="Times New Roman" w:hAnsi="Times New Roman"/>
          <w:color w:val="384575"/>
          <w:sz w:val="24"/>
        </w:rPr>
        <w:t xml:space="preserve"> v </w:t>
      </w:r>
      <w:r w:rsidRPr="00862391">
        <w:rPr>
          <w:rStyle w:val="y2iqfc"/>
          <w:rFonts w:ascii="Times New Roman" w:hAnsi="Times New Roman"/>
          <w:color w:val="384575"/>
          <w:sz w:val="24"/>
        </w:rPr>
        <w:t>souladu</w:t>
      </w:r>
      <w:r w:rsidR="00460264" w:rsidRPr="00862391">
        <w:rPr>
          <w:rStyle w:val="y2iqfc"/>
          <w:rFonts w:ascii="Times New Roman" w:hAnsi="Times New Roman"/>
          <w:color w:val="384575"/>
          <w:sz w:val="24"/>
        </w:rPr>
        <w:t xml:space="preserve"> s </w:t>
      </w:r>
      <w:r w:rsidRPr="00862391">
        <w:rPr>
          <w:rStyle w:val="y2iqfc"/>
          <w:rFonts w:ascii="Times New Roman" w:hAnsi="Times New Roman"/>
          <w:color w:val="384575"/>
          <w:sz w:val="24"/>
        </w:rPr>
        <w:t>judikaturou SDEU, která jim nejlépe odpovídá.</w:t>
      </w:r>
    </w:p>
    <w:p w14:paraId="459BF38A" w14:textId="77777777" w:rsidR="001302AE" w:rsidRDefault="00000000" w:rsidP="00EF37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540" w:lineRule="atLeast"/>
        <w:rPr>
          <w:rFonts w:ascii="inherit" w:hAnsi="inherit" w:cs="Courier New"/>
          <w:color w:val="1F1F1F"/>
          <w:sz w:val="42"/>
          <w:szCs w:val="42"/>
        </w:rPr>
      </w:pPr>
      <w:r>
        <w:rPr>
          <w:rFonts w:ascii="inherit" w:hAnsi="inherit"/>
          <w:color w:val="1F1F1F"/>
          <w:sz w:val="42"/>
        </w:rPr>
        <w:lastRenderedPageBreak/>
        <w:pict w14:anchorId="4575BB69">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Fletxa dreta 16" o:spid="_x0000_s1056" type="#_x0000_t13" style="position:absolute;margin-left:154.95pt;margin-top:187.8pt;width:29.5pt;height:23pt;z-index:25166745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EnurogIAALEFAAAOAAAAZHJzL2Uyb0RvYy54bWysVMFu2zAMvQ/YPwi6r06ytF2DOkXQIsOA&#10;oi3WDj0rshwLkEWNUuJkXz9Kctys63YYloMiUuQj+Uzy8mrXGrZV6DXYko9PRpwpK6HSdl3yb0/L&#10;D58480HYShiwquR75fnV/P27y87N1AQaMJVCRiDWzzpX8iYENysKLxvVCn8CTll6rAFbEUjEdVGh&#10;6Ai9NcVkNDorOsDKIUjlPWlv8iOfJ/y6VjLc17VXgZmSU24hnZjOVTyL+aWYrVG4Rss+DfEPWbRC&#10;Wwo6QN2IINgG9W9QrZYIHupwIqEtoK61VKkGqmY8elXNYyOcSrUQOd4NNPn/Byvvtg/IdEXf7owz&#10;K1r6Rkujwk6wChUVQWriqHN+RqaP7gF7ydM1FryrsY3/VArbJV73A69qF5gk5cfz6dkpsS/paXIx&#10;GY8S78WLs0MfPitoWbyUHPW6CQtE6BKnYnvrA4Ulh4NhjOjB6GqpjUlCbBh1bZBtBX3q1XqcXY1r&#10;RFadj+gXayGY1F7ROkvHQMZGOAsROBtHTREJyCWnW9gbFe2M/apqoo+KnKSAA3IOKqRUNuRcfCMq&#10;ldWnf8wlAUbkmuIP2D3ArzUesHOWvX10VanvB+fR3xLLzoNHigw2DM6ttoBvARiqqo+c7Q8kZWoi&#10;Syuo9tRcCHnqvJNLTd/3VvjwIJDGjFqCVke4p6M20JUc+htnDeCPt/TRnrqfXjnraGxL7r9vBCrO&#10;zBdLc3Exnk7jnCdheno+IQGPX1bHL3bTXgO1y5iWlJPpGu2DOVxrhPaZNswiRqUnYSXFLrkMeBCu&#10;Q14ntKOkWiySGc22E+HWPjoZwSOrsXOfds8CXd/kgabjDg4jLmavujzbRk8Li02AWqcReOG155v2&#10;QmrifofFxXMsJ6uXTTv/CQAA//8DAFBLAwQUAAYACAAAACEAz5RtK94AAAALAQAADwAAAGRycy9k&#10;b3ducmV2LnhtbEyPTU/DMAyG70j8h8hIXBBL19FuK00nBkI7s8E9a7y2InGqJt3Kv8ec2M0fj14/&#10;LjeTs+KMQ+g8KZjPEhBItTcdNQo+D++PKxAhajLaekIFPxhgU93elLow/kIfeN7HRnAIhUIraGPs&#10;CylD3aLTYeZ7JN6d/OB05HZopBn0hcOdlWmS5NLpjvhCq3t8bbH+3o9OwS4zPnMTHR76N7dN9c5u&#10;x/RLqfu76eUZRMQp/sPwp8/qULHT0Y9kgrAKFsl6zSgXyywHwcQiX/HkqOApnecgq1Je/1D9AgAA&#10;//8DAFBLAQItABQABgAIAAAAIQC2gziS/gAAAOEBAAATAAAAAAAAAAAAAAAAAAAAAABbQ29udGVu&#10;dF9UeXBlc10ueG1sUEsBAi0AFAAGAAgAAAAhADj9If/WAAAAlAEAAAsAAAAAAAAAAAAAAAAALwEA&#10;AF9yZWxzLy5yZWxzUEsBAi0AFAAGAAgAAAAhAEYSe6uiAgAAsQUAAA4AAAAAAAAAAAAAAAAALgIA&#10;AGRycy9lMm9Eb2MueG1sUEsBAi0AFAAGAAgAAAAhAM+UbSveAAAACwEAAA8AAAAAAAAAAAAAAAAA&#10;/AQAAGRycy9kb3ducmV2LnhtbFBLBQYAAAAABAAEAPMAAAAHBgAAAAA=&#10;" adj="13180" fillcolor="white [3212]" stroked="f" strokeweight="1pt">
            <v:fill opacity="46003f"/>
          </v:shape>
        </w:pict>
      </w:r>
      <w:r>
        <w:rPr>
          <w:rFonts w:ascii="inherit" w:hAnsi="inherit"/>
          <w:color w:val="1F1F1F"/>
          <w:sz w:val="42"/>
        </w:rPr>
        <w:pict w14:anchorId="50A3856F">
          <v:shape id="Fletxa dreta 15" o:spid="_x0000_s1055" type="#_x0000_t13" style="position:absolute;margin-left:99.95pt;margin-top:91.8pt;width:29.5pt;height:23pt;z-index:25166540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VipnogIAALEFAAAOAAAAZHJzL2Uyb0RvYy54bWysVMFu2zAMvQ/YPwi6r3aypF2DOkXQIsOA&#10;og3WDj0rshwbkEWNUuJkXz9Kctys63YYloMiUuQj+Uzy6nrfarZT6BowBR+d5ZwpI6FszKbg356W&#10;Hz5x5rwwpdBgVMEPyvHr+ft3V52dqTHUoEuFjECMm3W24LX3dpZlTtaqFe4MrDL0WAG2wpOIm6xE&#10;0RF6q7Nxnp9nHWBpEaRyjrS36ZHPI35VKekfqsopz3TBKTcfT4znOpzZ/ErMNihs3cg+DfEPWbSi&#10;MRR0gLoVXrAtNr9BtY1EcFD5MwltBlXVSBVroGpG+atqHmthVayFyHF2oMn9P1h5v1sha0r6dlPO&#10;jGjpGy218nvBSlRUBKmJo866GZk+2hX2kqNrKHhfYRv+qRS2j7weBl7V3jNJyo8Xk/MpsS/paXw5&#10;HuWR9+zF2aLznxW0LFwKjs2m9gtE6CKnYnfnPIUlh6NhiOhAN+Wy0ToKoWHUjUa2E/Sp15tRctW2&#10;Fkl1kdMv1EIwsb2CdZJOgbQJcAYCcDIOmiwQkEqON3/QKthp81VVRB8VOY4BB+QUVEipjE+5uFqU&#10;Kqmnf8wlAgbkiuIP2D3ArzUesVOWvX1wVbHvB+f8b4kl58EjRgbjB+e2MYBvAWiqqo+c7I8kJWoC&#10;S2soD9RcCGnqnJXLhr7vnXB+JZDGjFqCVod/oKPS0BUc+htnNeCPt/TBnrqfXjnraGwL7r5vBSrO&#10;9BdDc3E5mkzCnEdhMr0Yk4CnL+vTF7Ntb4DaZURLysp4DfZeH68VQvtMG2YRotKTMJJiF1x6PAo3&#10;Pq0T2lFSLRbRjGbbCn9nHq0M4IHV0LlP+2eBtm9yT9NxD8cRF7NXXZ5sg6eBxdZD1cQReOG155v2&#10;QmzifoeFxXMqR6uXTTv/CQAA//8DAFBLAwQUAAYACAAAACEAukCyddwAAAALAQAADwAAAGRycy9k&#10;b3ducmV2LnhtbEyPQU/DMAyF70j8h8hIXBBLCWrVdk0nBkI7s42712RtReNUTbqVf485we09++n5&#10;c7VZ3CAudgq9Jw1PqwSEpcabnloNx8P7Yw4iRCSDgyer4dsG2NS3NxWWxl/pw172sRVcQqFEDV2M&#10;YyllaDrrMKz8aIl3Zz85jGynVpoJr1zuBqmSJJMOe+ILHY72tbPN1352Gnap8alb6PAwvrmtwt2w&#10;ndWn1vd3y8saRLRL/AvDLz6jQ81MJz+TCWJgXxQFR1nkzxkITqg058mJhSoykHUl//9Q/wAAAP//&#10;AwBQSwECLQAUAAYACAAAACEAtoM4kv4AAADhAQAAEwAAAAAAAAAAAAAAAAAAAAAAW0NvbnRlbnRf&#10;VHlwZXNdLnhtbFBLAQItABQABgAIAAAAIQA4/SH/1gAAAJQBAAALAAAAAAAAAAAAAAAAAC8BAABf&#10;cmVscy8ucmVsc1BLAQItABQABgAIAAAAIQAOVipnogIAALEFAAAOAAAAAAAAAAAAAAAAAC4CAABk&#10;cnMvZTJvRG9jLnhtbFBLAQItABQABgAIAAAAIQC6QLJ13AAAAAsBAAAPAAAAAAAAAAAAAAAAAPwE&#10;AABkcnMvZG93bnJldi54bWxQSwUGAAAAAAQABADzAAAABQYAAAAA&#10;" adj="13180" fillcolor="white [3212]" stroked="f" strokeweight="1pt">
            <v:fill opacity="46003f"/>
          </v:shape>
        </w:pict>
      </w:r>
      <w:r w:rsidR="00976991">
        <w:rPr>
          <w:rFonts w:ascii="inherit" w:hAnsi="inherit"/>
          <w:noProof/>
          <w:color w:val="1F1F1F"/>
          <w:sz w:val="42"/>
          <w:lang w:eastAsia="cs-CZ"/>
        </w:rPr>
        <w:drawing>
          <wp:inline distT="0" distB="0" distL="0" distR="0" wp14:anchorId="37AEFF5F" wp14:editId="4F87C052">
            <wp:extent cx="5302250" cy="4089400"/>
            <wp:effectExtent l="0" t="0" r="0" b="6350"/>
            <wp:docPr id="14" name="Diagrama 1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0" r:lo="rId31" r:qs="rId32" r:cs="rId33"/>
              </a:graphicData>
            </a:graphic>
          </wp:inline>
        </w:drawing>
      </w:r>
    </w:p>
    <w:p w14:paraId="0ADAC682" w14:textId="77777777" w:rsidR="00F37B27" w:rsidRDefault="00F37B27" w:rsidP="00F37B27">
      <w:pPr>
        <w:pStyle w:val="FormtovanvHTML"/>
        <w:spacing w:after="120" w:line="276" w:lineRule="auto"/>
        <w:jc w:val="both"/>
        <w:rPr>
          <w:rFonts w:ascii="Times New Roman" w:hAnsi="Times New Roman" w:cs="Times New Roman"/>
          <w:color w:val="1F1F1F"/>
          <w:sz w:val="24"/>
          <w:szCs w:val="24"/>
          <w:lang w:val="en-US"/>
        </w:rPr>
      </w:pPr>
    </w:p>
    <w:p w14:paraId="05FE26BF" w14:textId="77777777" w:rsidR="00A47BFB" w:rsidRPr="00862391" w:rsidRDefault="00A47BFB" w:rsidP="00F37B27">
      <w:pPr>
        <w:pStyle w:val="FormtovanvHTML"/>
        <w:spacing w:after="120" w:line="276" w:lineRule="auto"/>
        <w:jc w:val="both"/>
        <w:rPr>
          <w:rFonts w:ascii="Times New Roman" w:hAnsi="Times New Roman" w:cs="Times New Roman"/>
          <w:color w:val="384575"/>
          <w:sz w:val="24"/>
          <w:szCs w:val="24"/>
        </w:rPr>
      </w:pPr>
      <w:r w:rsidRPr="00862391">
        <w:rPr>
          <w:rFonts w:ascii="Times New Roman" w:hAnsi="Times New Roman"/>
          <w:color w:val="384575"/>
          <w:sz w:val="24"/>
        </w:rPr>
        <w:t>Pokud jde</w:t>
      </w:r>
      <w:r w:rsidR="00460264" w:rsidRPr="00862391">
        <w:rPr>
          <w:rFonts w:ascii="Times New Roman" w:hAnsi="Times New Roman"/>
          <w:color w:val="384575"/>
          <w:sz w:val="24"/>
        </w:rPr>
        <w:t xml:space="preserve"> o </w:t>
      </w:r>
      <w:r w:rsidRPr="00862391">
        <w:rPr>
          <w:rFonts w:ascii="Times New Roman" w:hAnsi="Times New Roman"/>
          <w:color w:val="384575"/>
          <w:sz w:val="24"/>
        </w:rPr>
        <w:t>ochranu základních práv podle Listiny, je třeba poznamenat, že vnitrostátní soudce uplatňuje unijní právo</w:t>
      </w:r>
      <w:r w:rsidR="00460264" w:rsidRPr="00862391">
        <w:rPr>
          <w:rFonts w:ascii="Times New Roman" w:hAnsi="Times New Roman"/>
          <w:color w:val="384575"/>
          <w:sz w:val="24"/>
        </w:rPr>
        <w:t xml:space="preserve"> z </w:t>
      </w:r>
      <w:r w:rsidRPr="00862391">
        <w:rPr>
          <w:rFonts w:ascii="Times New Roman" w:hAnsi="Times New Roman"/>
          <w:color w:val="384575"/>
          <w:sz w:val="24"/>
        </w:rPr>
        <w:t>úřední povinnosti dvojím způsobem. Jak bylo uvedeno, Listina se nevztahuje přímo na skutkové okolnosti vnitrostátního řízení ani na vnitrostátní právo obecně: Její použití závisí na tom, zda se použijí jiná pravidla unijního hmotného práva.</w:t>
      </w:r>
      <w:r w:rsidR="00460264" w:rsidRPr="00862391">
        <w:rPr>
          <w:rFonts w:ascii="Times New Roman" w:hAnsi="Times New Roman"/>
          <w:color w:val="384575"/>
          <w:sz w:val="24"/>
        </w:rPr>
        <w:t xml:space="preserve"> V </w:t>
      </w:r>
      <w:r w:rsidRPr="00862391">
        <w:rPr>
          <w:rFonts w:ascii="Times New Roman" w:hAnsi="Times New Roman"/>
          <w:color w:val="384575"/>
          <w:sz w:val="24"/>
        </w:rPr>
        <w:t>důsledku toho může účastník řízení, který se chce dovolávat záruk unijního práva: 1) poukázat na pravidla unijního práva použitelná</w:t>
      </w:r>
      <w:r w:rsidR="00460264" w:rsidRPr="00862391">
        <w:rPr>
          <w:rFonts w:ascii="Times New Roman" w:hAnsi="Times New Roman"/>
          <w:color w:val="384575"/>
          <w:sz w:val="24"/>
        </w:rPr>
        <w:t xml:space="preserve"> v </w:t>
      </w:r>
      <w:r w:rsidRPr="00862391">
        <w:rPr>
          <w:rFonts w:ascii="Times New Roman" w:hAnsi="Times New Roman"/>
          <w:color w:val="384575"/>
          <w:sz w:val="24"/>
        </w:rPr>
        <w:t>původním řízení</w:t>
      </w:r>
      <w:r w:rsidR="00460264" w:rsidRPr="00862391">
        <w:rPr>
          <w:rFonts w:ascii="Times New Roman" w:hAnsi="Times New Roman"/>
          <w:color w:val="384575"/>
          <w:sz w:val="24"/>
        </w:rPr>
        <w:t xml:space="preserve"> a </w:t>
      </w:r>
      <w:r w:rsidRPr="00862391">
        <w:rPr>
          <w:rFonts w:ascii="Times New Roman" w:hAnsi="Times New Roman"/>
          <w:color w:val="384575"/>
          <w:sz w:val="24"/>
        </w:rPr>
        <w:t>navíc 2) prokázat použitelnost konkrétních záruk základních práv.</w:t>
      </w:r>
    </w:p>
    <w:p w14:paraId="022125BD" w14:textId="77777777" w:rsidR="00A47BFB" w:rsidRPr="00862391" w:rsidRDefault="00A47BFB" w:rsidP="00F37B27">
      <w:pPr>
        <w:pStyle w:val="FormtovanvHTML"/>
        <w:spacing w:after="120" w:line="276" w:lineRule="auto"/>
        <w:jc w:val="both"/>
        <w:rPr>
          <w:rFonts w:ascii="Times New Roman" w:hAnsi="Times New Roman" w:cs="Times New Roman"/>
          <w:color w:val="384575"/>
          <w:sz w:val="24"/>
          <w:szCs w:val="24"/>
        </w:rPr>
      </w:pPr>
      <w:r w:rsidRPr="00862391">
        <w:rPr>
          <w:rFonts w:ascii="Times New Roman" w:hAnsi="Times New Roman"/>
          <w:color w:val="384575"/>
          <w:sz w:val="24"/>
        </w:rPr>
        <w:t>V případě pouhého předložení tvrzení týkajících se hmotněprávních norem unijního práva je třeba připomenout, že dodržování základních práv je podmínkou platnosti unijních norem,</w:t>
      </w:r>
      <w:r w:rsidR="00460264" w:rsidRPr="00862391">
        <w:rPr>
          <w:rFonts w:ascii="Times New Roman" w:hAnsi="Times New Roman"/>
          <w:color w:val="384575"/>
          <w:sz w:val="24"/>
        </w:rPr>
        <w:t xml:space="preserve"> a </w:t>
      </w:r>
      <w:r w:rsidRPr="00862391">
        <w:rPr>
          <w:rFonts w:ascii="Times New Roman" w:hAnsi="Times New Roman"/>
          <w:color w:val="384575"/>
          <w:sz w:val="24"/>
        </w:rPr>
        <w:t>proto mohou vnitrostátní soudci námitku její relevance vždy vznést</w:t>
      </w:r>
      <w:r w:rsidR="00460264" w:rsidRPr="00862391">
        <w:rPr>
          <w:rFonts w:ascii="Times New Roman" w:hAnsi="Times New Roman"/>
          <w:color w:val="384575"/>
          <w:sz w:val="24"/>
        </w:rPr>
        <w:t xml:space="preserve"> i </w:t>
      </w:r>
      <w:r w:rsidRPr="00862391">
        <w:rPr>
          <w:rFonts w:ascii="Times New Roman" w:hAnsi="Times New Roman"/>
          <w:color w:val="384575"/>
          <w:sz w:val="24"/>
        </w:rPr>
        <w:t>z úřední povinnosti. Jinými slovy, je velmi důležité, aby se advokát snažil zavést unijní právo do řízení</w:t>
      </w:r>
      <w:r w:rsidR="00460264" w:rsidRPr="00862391">
        <w:rPr>
          <w:rFonts w:ascii="Times New Roman" w:hAnsi="Times New Roman"/>
          <w:color w:val="384575"/>
          <w:sz w:val="24"/>
        </w:rPr>
        <w:t xml:space="preserve"> v </w:t>
      </w:r>
      <w:r w:rsidRPr="00862391">
        <w:rPr>
          <w:rFonts w:ascii="Times New Roman" w:hAnsi="Times New Roman"/>
          <w:color w:val="384575"/>
          <w:sz w:val="24"/>
        </w:rPr>
        <w:t>souladu</w:t>
      </w:r>
      <w:r w:rsidR="00460264" w:rsidRPr="00862391">
        <w:rPr>
          <w:rFonts w:ascii="Times New Roman" w:hAnsi="Times New Roman"/>
          <w:color w:val="384575"/>
          <w:sz w:val="24"/>
        </w:rPr>
        <w:t xml:space="preserve"> s </w:t>
      </w:r>
      <w:r w:rsidRPr="00862391">
        <w:rPr>
          <w:rFonts w:ascii="Times New Roman" w:hAnsi="Times New Roman"/>
          <w:color w:val="384575"/>
          <w:sz w:val="24"/>
        </w:rPr>
        <w:t>vnitrostátním procesním režimem, neboť uplatňování základních práv nemusí být výslovně uvedeno</w:t>
      </w:r>
      <w:r w:rsidR="00460264" w:rsidRPr="00862391">
        <w:rPr>
          <w:rFonts w:ascii="Times New Roman" w:hAnsi="Times New Roman"/>
          <w:color w:val="384575"/>
          <w:sz w:val="24"/>
        </w:rPr>
        <w:t xml:space="preserve"> v </w:t>
      </w:r>
      <w:r w:rsidRPr="00862391">
        <w:rPr>
          <w:rFonts w:ascii="Times New Roman" w:hAnsi="Times New Roman"/>
          <w:color w:val="384575"/>
          <w:sz w:val="24"/>
        </w:rPr>
        <w:t>odůvodnění účastníků řízení.</w:t>
      </w:r>
    </w:p>
    <w:p w14:paraId="4CB1678D" w14:textId="77777777" w:rsidR="00566271" w:rsidRPr="00862391" w:rsidRDefault="00A47BFB" w:rsidP="00F37B27">
      <w:pPr>
        <w:pStyle w:val="FormtovanvHTML"/>
        <w:spacing w:after="120" w:line="276" w:lineRule="auto"/>
        <w:jc w:val="both"/>
        <w:rPr>
          <w:rFonts w:ascii="Times New Roman" w:hAnsi="Times New Roman" w:cs="Times New Roman"/>
          <w:color w:val="384575"/>
          <w:sz w:val="24"/>
          <w:szCs w:val="24"/>
        </w:rPr>
      </w:pPr>
      <w:r w:rsidRPr="00862391">
        <w:rPr>
          <w:rStyle w:val="y2iqfc"/>
          <w:rFonts w:ascii="Times New Roman" w:hAnsi="Times New Roman"/>
          <w:color w:val="384575"/>
          <w:sz w:val="24"/>
        </w:rPr>
        <w:t>Nicméně</w:t>
      </w:r>
      <w:r w:rsidR="00460264" w:rsidRPr="00862391">
        <w:rPr>
          <w:rStyle w:val="y2iqfc"/>
          <w:rFonts w:ascii="Times New Roman" w:hAnsi="Times New Roman"/>
          <w:color w:val="384575"/>
          <w:sz w:val="24"/>
        </w:rPr>
        <w:t xml:space="preserve"> v </w:t>
      </w:r>
      <w:r w:rsidRPr="00862391">
        <w:rPr>
          <w:rStyle w:val="y2iqfc"/>
          <w:rFonts w:ascii="Times New Roman" w:hAnsi="Times New Roman"/>
          <w:color w:val="384575"/>
          <w:sz w:val="24"/>
        </w:rPr>
        <w:t>případě, že je výklad</w:t>
      </w:r>
      <w:r w:rsidR="00460264" w:rsidRPr="00862391">
        <w:rPr>
          <w:rStyle w:val="y2iqfc"/>
          <w:rFonts w:ascii="Times New Roman" w:hAnsi="Times New Roman"/>
          <w:color w:val="384575"/>
          <w:sz w:val="24"/>
        </w:rPr>
        <w:t xml:space="preserve"> v </w:t>
      </w:r>
      <w:r w:rsidRPr="00862391">
        <w:rPr>
          <w:rStyle w:val="y2iqfc"/>
          <w:rFonts w:ascii="Times New Roman" w:hAnsi="Times New Roman"/>
          <w:color w:val="384575"/>
          <w:sz w:val="24"/>
        </w:rPr>
        <w:t>souladu</w:t>
      </w:r>
      <w:r w:rsidR="00460264" w:rsidRPr="00862391">
        <w:rPr>
          <w:rStyle w:val="y2iqfc"/>
          <w:rFonts w:ascii="Times New Roman" w:hAnsi="Times New Roman"/>
          <w:color w:val="384575"/>
          <w:sz w:val="24"/>
        </w:rPr>
        <w:t xml:space="preserve"> s </w:t>
      </w:r>
      <w:r w:rsidRPr="00862391">
        <w:rPr>
          <w:rStyle w:val="y2iqfc"/>
          <w:rFonts w:ascii="Times New Roman" w:hAnsi="Times New Roman"/>
          <w:color w:val="384575"/>
          <w:sz w:val="24"/>
        </w:rPr>
        <w:t>Listinou nepravděpodobný nebo může vyvolat potíže, může advokát rovněž poukázáním na soulad</w:t>
      </w:r>
      <w:r w:rsidR="00460264" w:rsidRPr="00862391">
        <w:rPr>
          <w:rStyle w:val="y2iqfc"/>
          <w:rFonts w:ascii="Times New Roman" w:hAnsi="Times New Roman"/>
          <w:color w:val="384575"/>
          <w:sz w:val="24"/>
        </w:rPr>
        <w:t xml:space="preserve"> s </w:t>
      </w:r>
      <w:r w:rsidRPr="00862391">
        <w:rPr>
          <w:rStyle w:val="y2iqfc"/>
          <w:rFonts w:ascii="Times New Roman" w:hAnsi="Times New Roman"/>
          <w:color w:val="384575"/>
          <w:sz w:val="24"/>
        </w:rPr>
        <w:t>Listinou jakožto dobrým argumentem přispět</w:t>
      </w:r>
      <w:r w:rsidR="00460264" w:rsidRPr="00862391">
        <w:rPr>
          <w:rStyle w:val="y2iqfc"/>
          <w:rFonts w:ascii="Times New Roman" w:hAnsi="Times New Roman"/>
          <w:color w:val="384575"/>
          <w:sz w:val="24"/>
        </w:rPr>
        <w:t xml:space="preserve"> k </w:t>
      </w:r>
      <w:r w:rsidRPr="00862391">
        <w:rPr>
          <w:rStyle w:val="y2iqfc"/>
          <w:rFonts w:ascii="Times New Roman" w:hAnsi="Times New Roman"/>
          <w:color w:val="384575"/>
          <w:sz w:val="24"/>
        </w:rPr>
        <w:t>vypracování nezbytné analýzy</w:t>
      </w:r>
      <w:r w:rsidR="00460264" w:rsidRPr="00862391">
        <w:rPr>
          <w:rStyle w:val="y2iqfc"/>
          <w:rFonts w:ascii="Times New Roman" w:hAnsi="Times New Roman"/>
          <w:color w:val="384575"/>
          <w:sz w:val="24"/>
        </w:rPr>
        <w:t xml:space="preserve"> s </w:t>
      </w:r>
      <w:r w:rsidRPr="00862391">
        <w:rPr>
          <w:rStyle w:val="y2iqfc"/>
          <w:rFonts w:ascii="Times New Roman" w:hAnsi="Times New Roman"/>
          <w:color w:val="384575"/>
          <w:sz w:val="24"/>
        </w:rPr>
        <w:t>cílem přesvědčit vnitrostátního soudce, aby požádal</w:t>
      </w:r>
      <w:r w:rsidR="00460264" w:rsidRPr="00862391">
        <w:rPr>
          <w:rStyle w:val="y2iqfc"/>
          <w:rFonts w:ascii="Times New Roman" w:hAnsi="Times New Roman"/>
          <w:color w:val="384575"/>
          <w:sz w:val="24"/>
        </w:rPr>
        <w:t xml:space="preserve"> o </w:t>
      </w:r>
      <w:r w:rsidRPr="00862391">
        <w:rPr>
          <w:rStyle w:val="y2iqfc"/>
          <w:rFonts w:ascii="Times New Roman" w:hAnsi="Times New Roman"/>
          <w:color w:val="384575"/>
          <w:sz w:val="24"/>
        </w:rPr>
        <w:t>rozhodnutí</w:t>
      </w:r>
      <w:r w:rsidR="00460264" w:rsidRPr="00862391">
        <w:rPr>
          <w:rStyle w:val="y2iqfc"/>
          <w:rFonts w:ascii="Times New Roman" w:hAnsi="Times New Roman"/>
          <w:color w:val="384575"/>
          <w:sz w:val="24"/>
        </w:rPr>
        <w:t xml:space="preserve"> o </w:t>
      </w:r>
      <w:r w:rsidRPr="00862391">
        <w:rPr>
          <w:rStyle w:val="y2iqfc"/>
          <w:rFonts w:ascii="Times New Roman" w:hAnsi="Times New Roman"/>
          <w:color w:val="384575"/>
          <w:sz w:val="24"/>
        </w:rPr>
        <w:t>předběžné otázce nebo</w:t>
      </w:r>
      <w:r w:rsidR="00460264" w:rsidRPr="00862391">
        <w:rPr>
          <w:rStyle w:val="y2iqfc"/>
          <w:rFonts w:ascii="Times New Roman" w:hAnsi="Times New Roman"/>
          <w:color w:val="384575"/>
          <w:sz w:val="24"/>
        </w:rPr>
        <w:t xml:space="preserve"> o </w:t>
      </w:r>
      <w:r w:rsidRPr="00862391">
        <w:rPr>
          <w:rStyle w:val="y2iqfc"/>
          <w:rFonts w:ascii="Times New Roman" w:hAnsi="Times New Roman"/>
          <w:color w:val="384575"/>
          <w:sz w:val="24"/>
        </w:rPr>
        <w:t>tom, aby určitou vnitrostátní normu nepoužil.</w:t>
      </w:r>
    </w:p>
    <w:p w14:paraId="4CDE664A" w14:textId="77777777" w:rsidR="00566271" w:rsidRPr="007D56D6" w:rsidRDefault="00566271" w:rsidP="00EF37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540" w:lineRule="atLeast"/>
        <w:rPr>
          <w:color w:val="1F1F1F"/>
        </w:rPr>
      </w:pPr>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494"/>
      </w:tblGrid>
      <w:tr w:rsidR="00F74EFF" w:rsidRPr="001E6D6E" w14:paraId="271E3481" w14:textId="77777777" w:rsidTr="006A04DB">
        <w:tc>
          <w:tcPr>
            <w:tcW w:w="8494" w:type="dxa"/>
          </w:tcPr>
          <w:p w14:paraId="0B06FC1A" w14:textId="77777777" w:rsidR="0093649B" w:rsidRPr="007D56D6" w:rsidRDefault="0093649B" w:rsidP="00EF37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540" w:lineRule="atLeast"/>
              <w:rPr>
                <w:rFonts w:asciiTheme="minorHAnsi" w:hAnsiTheme="minorHAnsi" w:cstheme="minorHAnsi"/>
                <w:color w:val="1F1F1F"/>
                <w:sz w:val="24"/>
                <w:szCs w:val="24"/>
              </w:rPr>
            </w:pPr>
          </w:p>
          <w:p w14:paraId="26023568" w14:textId="77777777" w:rsidR="006A04DB" w:rsidRDefault="00000000" w:rsidP="00EF37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540" w:lineRule="atLeast"/>
              <w:rPr>
                <w:rFonts w:asciiTheme="minorHAnsi" w:hAnsiTheme="minorHAnsi" w:cstheme="minorHAnsi"/>
                <w:color w:val="1F1F1F"/>
                <w:sz w:val="24"/>
                <w:szCs w:val="24"/>
              </w:rPr>
            </w:pPr>
            <w:r>
              <w:rPr>
                <w:rFonts w:asciiTheme="minorHAnsi" w:hAnsiTheme="minorHAnsi"/>
                <w:color w:val="1F1F1F"/>
              </w:rPr>
              <w:pict w14:anchorId="28C195BE">
                <v:group id="Agrupa 49" o:spid="_x0000_s1031" style="position:absolute;margin-left:-2.2pt;margin-top:8.15pt;width:421pt;height:226.5pt;z-index:251705344" coordsize="53467,28765">
                  <v:roundrect id="Rectangle arrodonit 21" o:spid="_x0000_s1032" style="position:absolute;left:39433;top:10096;width:14034;height:8636;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M+h6xwAAAOAAAAAPAAAAZHJzL2Rvd25yZXYueG1sRI9BawIx&#10;FITvhf6H8Aq91awitl2NUloFb9LV1utj88yu3bwsSbq7/ntTKHgZGIb5hlmsBtuIjnyoHSsYjzIQ&#10;xKXTNRsFh/3m6QVEiMgaG8ek4EIBVsv7uwXm2vX8SV0RjUgQDjkqqGJscylDWZHFMHItccpOzluM&#10;yXojtcc+wW0jJ1k2kxZrTgsVtvReUflT/FoF7rvzcX/sT8Xz+pDt5Jc5T1+NUo8Pw8c8ydscRKQh&#10;3hr/iK1WMBnD36F0BuTyCgAA//8DAFBLAQItABQABgAIAAAAIQDb4fbL7gAAAIUBAAATAAAAAAAA&#10;AAAAAAAAAAAAAABbQ29udGVudF9UeXBlc10ueG1sUEsBAi0AFAAGAAgAAAAhAFr0LFu/AAAAFQEA&#10;AAsAAAAAAAAAAAAAAAAAHwEAAF9yZWxzLy5yZWxzUEsBAi0AFAAGAAgAAAAhAF4z6HrHAAAA4AAA&#10;AA8AAAAAAAAAAAAAAAAABwIAAGRycy9kb3ducmV2LnhtbFBLBQYAAAAAAwADALcAAAD7AgAAAABH&#10;QUFnQUFBQU==&#10;" fillcolor="#4472c4" stroked="f" strokeweight="1pt">
                    <v:stroke joinstyle="miter"/>
                    <v:textbox>
                      <w:txbxContent>
                        <w:p w14:paraId="71F6D01A" w14:textId="77777777" w:rsidR="0048041D" w:rsidRPr="0093649B" w:rsidRDefault="0048041D" w:rsidP="0093649B">
                          <w:pPr>
                            <w:jc w:val="center"/>
                            <w:rPr>
                              <w:rFonts w:asciiTheme="minorHAnsi" w:hAnsiTheme="minorHAnsi" w:cstheme="minorHAnsi"/>
                              <w:color w:val="FFFFFF" w:themeColor="background1"/>
                              <w:sz w:val="28"/>
                              <w:szCs w:val="28"/>
                            </w:rPr>
                          </w:pPr>
                          <w:r>
                            <w:rPr>
                              <w:rFonts w:asciiTheme="minorHAnsi" w:hAnsiTheme="minorHAnsi"/>
                              <w:color w:val="FFFFFF" w:themeColor="background1"/>
                              <w:sz w:val="28"/>
                            </w:rPr>
                            <w:t>Použití</w:t>
                          </w:r>
                        </w:p>
                      </w:txbxContent>
                    </v:textbox>
                  </v:roundrect>
                  <v:shapetype id="_x0000_t32" coordsize="21600,21600" o:spt="32" o:oned="t" path="m,l21600,21600e" filled="f">
                    <v:path arrowok="t" fillok="f" o:connecttype="none"/>
                    <o:lock v:ext="edit" shapetype="t"/>
                  </v:shapetype>
                  <v:shape id="Connector de fletxa recta 30" o:spid="_x0000_s1033" type="#_x0000_t32" style="position:absolute;left:13970;top:19494;width:11160;height:180;flip:y;visibility:visible" o:connectortype="straight" strokecolor="#4472c4" strokeweight="2.25pt">
                    <v:stroke endarrow="open" joinstyle="miter" endcap="round"/>
                  </v:shape>
                  <v:group id="Agrupa 48" o:spid="_x0000_s1034" style="position:absolute;width:53149;height:28765" coordsize="53149,28765">
                    <v:group id="Agrupa 47" o:spid="_x0000_s1035" style="position:absolute;width:53149;height:28765" coordsize="53149,28765">
                      <v:shapetype id="_x0000_t202" coordsize="21600,21600" o:spt="202" path="m,l,21600r21600,l21600,xe">
                        <v:stroke joinstyle="miter"/>
                        <v:path gradientshapeok="t" o:connecttype="rect"/>
                      </v:shapetype>
                      <v:shape id="Quadre de text 27" o:spid="_x0000_s1036" type="#_x0000_t202" style="position:absolute;left:14478;top:16192;width:9398;height:6160;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qsF6yAAAAOAAAAAPAAAAZHJzL2Rvd25yZXYueG1sRI9Ba8JA&#10;FITvQv/D8gpeRDeVYkp0lWIp5JCLWgq9PbLPbDD7Nt3dxvjvu4WCl4FhmG+YzW60nRjIh9axgqdF&#10;BoK4drrlRsHH6X3+AiJEZI2dY1JwowC77cNkg4V2Vz7QcIyNSBAOBSowMfaFlKE2ZDEsXE+csrPz&#10;FmOyvpHa4zXBbSeXWbaSFltOCwZ72huqL8cfq2D4LJ/1YTDRz/ZVmZWX6jv/qpSaPo5v6ySvaxCR&#10;xnhv/CNKrWCZw9+hdAbk9hcAAP//AwBQSwECLQAUAAYACAAAACEA2+H2y+4AAACFAQAAEwAAAAAA&#10;AAAAAAAAAAAAAAAAW0NvbnRlbnRfVHlwZXNdLnhtbFBLAQItABQABgAIAAAAIQBa9CxbvwAAABUB&#10;AAALAAAAAAAAAAAAAAAAAB8BAABfcmVscy8ucmVsc1BLAQItABQABgAIAAAAIQC8qsF6yAAAAOAA&#10;AAAPAAAAAAAAAAAAAAAAAAcCAABkcnMvZG93bnJldi54bWxQSwUGAAAAAAMAAwC3AAAA/AIAAAAA&#10;Z0FJQUFBQUl=&#10;" filled="f" stroked="f" strokeweight=".5pt">
                        <v:textbox>
                          <w:txbxContent>
                            <w:p w14:paraId="513C1A1B" w14:textId="77777777" w:rsidR="0048041D" w:rsidRPr="00F943A2" w:rsidRDefault="0048041D" w:rsidP="00BA2629">
                              <w:pPr>
                                <w:jc w:val="center"/>
                                <w:rPr>
                                  <w:rFonts w:asciiTheme="minorHAnsi" w:hAnsiTheme="minorHAnsi" w:cstheme="minorHAnsi"/>
                                  <w:b/>
                                  <w:color w:val="4472C4" w:themeColor="accent1"/>
                                  <w:sz w:val="20"/>
                                  <w:szCs w:val="20"/>
                                </w:rPr>
                              </w:pPr>
                              <w:r>
                                <w:rPr>
                                  <w:rFonts w:asciiTheme="minorHAnsi" w:hAnsiTheme="minorHAnsi"/>
                                  <w:b/>
                                  <w:color w:val="4472C4" w:themeColor="accent1"/>
                                  <w:sz w:val="20"/>
                                </w:rPr>
                                <w:t>Pochyby?</w:t>
                              </w:r>
                            </w:p>
                            <w:p w14:paraId="09C26F1B" w14:textId="77777777" w:rsidR="0048041D" w:rsidRPr="00F943A2" w:rsidRDefault="0048041D" w:rsidP="00BA2629">
                              <w:pPr>
                                <w:jc w:val="center"/>
                                <w:rPr>
                                  <w:rFonts w:asciiTheme="minorHAnsi" w:hAnsiTheme="minorHAnsi" w:cstheme="minorHAnsi"/>
                                  <w:b/>
                                  <w:color w:val="4472C4" w:themeColor="accent1"/>
                                  <w:sz w:val="16"/>
                                  <w:szCs w:val="16"/>
                                  <w:lang w:val="ca-ES"/>
                                </w:rPr>
                              </w:pPr>
                            </w:p>
                            <w:p w14:paraId="032D0480" w14:textId="77777777" w:rsidR="0048041D" w:rsidRPr="009A148F" w:rsidRDefault="0048041D" w:rsidP="00BA2629">
                              <w:pPr>
                                <w:jc w:val="center"/>
                                <w:rPr>
                                  <w:rFonts w:asciiTheme="minorHAnsi" w:hAnsiTheme="minorHAnsi" w:cstheme="minorHAnsi"/>
                                  <w:color w:val="4472C4" w:themeColor="accent1"/>
                                  <w:sz w:val="20"/>
                                </w:rPr>
                              </w:pPr>
                              <w:r w:rsidRPr="009A148F">
                                <w:rPr>
                                  <w:rFonts w:asciiTheme="minorHAnsi" w:hAnsiTheme="minorHAnsi"/>
                                  <w:b/>
                                  <w:color w:val="4472C4" w:themeColor="accent1"/>
                                  <w:sz w:val="20"/>
                                </w:rPr>
                                <w:t>Neprůkazné?</w:t>
                              </w:r>
                            </w:p>
                          </w:txbxContent>
                        </v:textbox>
                      </v:shape>
                      <v:group id="Agrupa 46" o:spid="_x0000_s1037" style="position:absolute;width:53149;height:28765" coordsize="53149,287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yPtnyAAAAOAAAAAPAAAAZHJzL2Rvd25yZXYueG1sRI9Li8JA&#10;EITvC/6HoQVv6yS6ikRHEfeBBxF8gHhrMm0SzPSEzGwS/70jLOyloCjqK2qx6kwpGqpdYVlBPIxA&#10;EKdWF5wpOJ++32cgnEfWWFomBQ9ysFr23haYaNvygZqjz0SAsEtQQe59lUjp0pwMuqGtiEN2s7VB&#10;H2ydSV1jG+CmlKMomkqDBYeFHCva5JTej79GwU+L7XocfzW7+23zuJ4m+8suJqUG/e5zHmQ9B+Gp&#10;8/+NP8RWK/iYwutQOANy+QQAAP//AwBQSwECLQAUAAYACAAAACEA2+H2y+4AAACFAQAAEwAAAAAA&#10;AAAAAAAAAAAAAAAAW0NvbnRlbnRfVHlwZXNdLnhtbFBLAQItABQABgAIAAAAIQBa9CxbvwAAABUB&#10;AAALAAAAAAAAAAAAAAAAAB8BAABfcmVscy8ucmVsc1BLAQItABQABgAIAAAAIQCbyPtnyAAAAOAA&#10;AAAPAAAAAAAAAAAAAAAAAAcCAABkcnMvZG93bnJldi54bWxQSwUGAAAAAAMAAwC3AAAA/AIAAAAA&#10;Z0FJQUFBQUl=&#10;">
                        <v:roundrect id="Rectangle arrodonit 19" o:spid="_x0000_s1038" style="position:absolute;top:11811;width:13779;height:14414;visibility:visible;v-text-anchor:middle" arcsize="10923f" fillcolor="#4472c4 [3204]" stroked="f" strokeweight="1pt">
                          <v:stroke joinstyle="miter"/>
                          <v:textbox>
                            <w:txbxContent>
                              <w:p w14:paraId="6992B14F" w14:textId="77777777" w:rsidR="0048041D" w:rsidRPr="0093649B" w:rsidRDefault="0048041D" w:rsidP="0093649B">
                                <w:pPr>
                                  <w:jc w:val="center"/>
                                  <w:rPr>
                                    <w:rFonts w:asciiTheme="minorHAnsi" w:hAnsiTheme="minorHAnsi" w:cstheme="minorHAnsi"/>
                                    <w:sz w:val="28"/>
                                    <w:szCs w:val="28"/>
                                  </w:rPr>
                                </w:pPr>
                                <w:r>
                                  <w:rPr>
                                    <w:rFonts w:asciiTheme="minorHAnsi" w:hAnsiTheme="minorHAnsi"/>
                                    <w:sz w:val="28"/>
                                  </w:rPr>
                                  <w:t>Jednotný výklad</w:t>
                                </w:r>
                              </w:p>
                            </w:txbxContent>
                          </v:textbox>
                        </v:roundrect>
                        <v:roundrect id="Rectangle arrodonit 20" o:spid="_x0000_s1039" style="position:absolute;left:39116;top:20129;width:14033;height:8636;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f03hxwAAAOAAAAAPAAAAZHJzL2Rvd25yZXYueG1sRI9NS8NA&#10;EIbvQv/DMgVvdmMRrWm3RfwAb2La6nXITjfR7GzYXZP4752D0MvAy/A+L89mN/lODRRTG9jA9aIA&#10;RVwH27IzcNi/XK1ApYxssQtMBn4pwW47u9hgacPI7zRU2SmBcCrRQJNzX2qd6oY8pkXoieV3CtFj&#10;lhidthFHgftOL4viVntsWRYa7Omxofq7+vEGwscQ8/5zPFV3z4fiTR/d1829M+ZyPj2t5TysQWWa&#10;8rnxj3i1BpaiIEIiA3r7BwAA//8DAFBLAQItABQABgAIAAAAIQDb4fbL7gAAAIUBAAATAAAAAAAA&#10;AAAAAAAAAAAAAABbQ29udGVudF9UeXBlc10ueG1sUEsBAi0AFAAGAAgAAAAhAFr0LFu/AAAAFQEA&#10;AAsAAAAAAAAAAAAAAAAAHwEAAF9yZWxzLy5yZWxzUEsBAi0AFAAGAAgAAAAhADF/TeHHAAAA4AAA&#10;AA8AAAAAAAAAAAAAAAAABwIAAGRycy9kb3ducmV2LnhtbFBLBQYAAAAAAwADALcAAAD7AgAAAABH&#10;QUFnQUFBQU==&#10;" fillcolor="#4472c4" stroked="f" strokeweight="1pt">
                          <v:stroke joinstyle="miter"/>
                          <v:textbox>
                            <w:txbxContent>
                              <w:p w14:paraId="5FF347B2" w14:textId="77777777" w:rsidR="0048041D" w:rsidRPr="0093649B" w:rsidRDefault="0048041D" w:rsidP="0093649B">
                                <w:pPr>
                                  <w:jc w:val="center"/>
                                  <w:rPr>
                                    <w:rFonts w:asciiTheme="minorHAnsi" w:hAnsiTheme="minorHAnsi" w:cstheme="minorHAnsi"/>
                                    <w:color w:val="FFFFFF" w:themeColor="background1"/>
                                    <w:sz w:val="28"/>
                                    <w:szCs w:val="28"/>
                                  </w:rPr>
                                </w:pPr>
                                <w:r>
                                  <w:rPr>
                                    <w:rFonts w:asciiTheme="minorHAnsi" w:hAnsiTheme="minorHAnsi"/>
                                    <w:color w:val="FFFFFF" w:themeColor="background1"/>
                                    <w:sz w:val="28"/>
                                  </w:rPr>
                                  <w:t>Nepoužití</w:t>
                                </w:r>
                              </w:p>
                            </w:txbxContent>
                          </v:textbox>
                        </v:roundrect>
                        <v:roundrect id="Rectangle arrodonit 24" o:spid="_x0000_s1040" style="position:absolute;left:25273;top:15367;width:11938;height:7937;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7YSiygAAAOAAAAAPAAAAZHJzL2Rvd25yZXYueG1sRI9Ba8JA&#10;FITvgv9heYI33Si2aHSVqi0tSA9qFLw9ss8kNvs2ZLcx/ffdQsHLwDDMN8xi1ZpSNFS7wrKC0TAC&#10;QZxaXXCmIDm+DaYgnEfWWFomBT/kYLXsdhYYa3vnPTUHn4kAYRejgtz7KpbSpTkZdENbEYfsamuD&#10;Ptg6k7rGe4CbUo6j6FkaLDgs5FjRJqf06/BtFJynp6Zazz7Pt/31XR4v69enXZIo1e+123mQlzkI&#10;T61/NP4RH1rBeAJ/h8IZkMtfAAAA//8DAFBLAQItABQABgAIAAAAIQDb4fbL7gAAAIUBAAATAAAA&#10;AAAAAAAAAAAAAAAAAABbQ29udGVudF9UeXBlc10ueG1sUEsBAi0AFAAGAAgAAAAhAFr0LFu/AAAA&#10;FQEAAAsAAAAAAAAAAAAAAAAAHwEAAF9yZWxzLy5yZWxzUEsBAi0AFAAGAAgAAAAhAPzthKLKAAAA&#10;4AAAAA8AAAAAAAAAAAAAAAAABwIAAGRycy9kb3ducmV2LnhtbFBLBQYAAAAAAwADALcAAAD+AgAA&#10;AABBZ0FBQUFoQVB6dF==&#10;" fillcolor="#4472c4 [3204]" stroked="f" strokeweight="1pt">
                          <v:stroke joinstyle="miter"/>
                          <v:textbox>
                            <w:txbxContent>
                              <w:p w14:paraId="439C3334" w14:textId="77777777" w:rsidR="0048041D" w:rsidRPr="009A148F" w:rsidRDefault="0048041D" w:rsidP="00BA2629">
                                <w:pPr>
                                  <w:jc w:val="center"/>
                                  <w:rPr>
                                    <w:rFonts w:asciiTheme="minorHAnsi" w:hAnsiTheme="minorHAnsi" w:cstheme="minorHAnsi"/>
                                    <w:sz w:val="20"/>
                                    <w:szCs w:val="28"/>
                                  </w:rPr>
                                </w:pPr>
                                <w:r w:rsidRPr="009A148F">
                                  <w:rPr>
                                    <w:rFonts w:asciiTheme="minorHAnsi" w:hAnsiTheme="minorHAnsi"/>
                                    <w:sz w:val="20"/>
                                  </w:rPr>
                                  <w:t>Žádost o rozhodnutí o předběžné otázce</w:t>
                                </w:r>
                              </w:p>
                            </w:txbxContent>
                          </v:textbox>
                        </v:roundrect>
                        <v:shape id="Connector de fletxa recta 25" o:spid="_x0000_s1041" type="#_x0000_t32" style="position:absolute;left:13716;top:23876;width:25200;height:180;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WbaBxwAAAOAAAAAPAAAAZHJzL2Rvd25yZXYueG1sRI9Ba8JA&#10;FITvgv9heYIXMRtTtCW6ilSE4K1R6PWZfSap2bchu9W0v75bELwMDMN8w6w2vWnEjTpXW1Ywi2IQ&#10;xIXVNZcKTsf99A2E88gaG8uk4IccbNbDwQpTbe/8QbfclyJA2KWooPK+TaV0RUUGXWRb4pBdbGfQ&#10;B9uVUnd4D3DTyCSOF9JgzWGhwpbeKyqu+bdRkP3uHF2yyRcdPvPEn18OdH1FpcajfrcMsl2C8NT7&#10;Z+OByLSCZA7/h8IZkOs/AAAA//8DAFBLAQItABQABgAIAAAAIQDb4fbL7gAAAIUBAAATAAAAAAAA&#10;AAAAAAAAAAAAAABbQ29udGVudF9UeXBlc10ueG1sUEsBAi0AFAAGAAgAAAAhAFr0LFu/AAAAFQEA&#10;AAsAAAAAAAAAAAAAAAAAHwEAAF9yZWxzLy5yZWxzUEsBAi0AFAAGAAgAAAAhAGpZtoHHAAAA4AAA&#10;AA8AAAAAAAAAAAAAAAAABwIAAGRycy9kb3ducmV2LnhtbFBLBQYAAAAAAwADALcAAAD7AgAAAABH&#10;QUFnQUFBQU==&#10;" strokecolor="#4472c4 [3204]" strokeweight="2.25pt">
                          <v:stroke endarrow="open" joinstyle="miter" endcap="round"/>
                        </v:shape>
                        <v:shape id="Connector de fletxa recta 26" o:spid="_x0000_s1042" type="#_x0000_t32" style="position:absolute;left:13906;top:14414;width:25200;height:180;flip:y;visibility:visible" o:connectortype="straight" strokecolor="#4472c4" strokeweight="2.25pt">
                          <v:stroke endarrow="open" joinstyle="miter" endcap="round"/>
                        </v:shape>
                        <v:shapetype id="_x0000_t120" coordsize="21600,21600" o:spt="120" path="m10800,qx,10800,10800,21600,21600,10800,10800,xe">
                          <v:path gradientshapeok="t" o:connecttype="custom" o:connectlocs="10800,0;3163,3163;0,10800;3163,18437;10800,21600;18437,18437;21600,10800;18437,3163" textboxrect="3163,3163,18437,18437"/>
                        </v:shapetype>
                        <v:shape id="Connector 28" o:spid="_x0000_s1043" type="#_x0000_t120" style="position:absolute;left:14859;top:16637;width:8445;height:6477;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BCyuygAAAOAAAAAPAAAAZHJzL2Rvd25yZXYueG1sRI9Na8JA&#10;EIbvhf6HZQpeiu42h1ajq5SKYA+t+AFex+yYxGZnQ3ar6b/vHAq9DLwM7zPzzBa9b9SVulgHtvA0&#10;MqCIi+BqLi0c9qvhGFRMyA6bwGThhyIs5vd3M8xduPGWrrtUKoFwzNFClVKbax2LijzGUWiJZXcO&#10;nccksSu16/AmcN/ozJhn7bFmuVBhS28VFV+7b29hvX1/yTbHA32stGtP5vJoismntYOHfjmV8ToF&#10;lahP/40/xNpZyORjERIZ0PNfAAAA//8DAFBLAQItABQABgAIAAAAIQDb4fbL7gAAAIUBAAATAAAA&#10;AAAAAAAAAAAAAAAAAABbQ29udGVudF9UeXBlc10ueG1sUEsBAi0AFAAGAAgAAAAhAFr0LFu/AAAA&#10;FQEAAAsAAAAAAAAAAAAAAAAAHwEAAF9yZWxzLy5yZWxzUEsBAi0AFAAGAAgAAAAhAE0ELK7KAAAA&#10;4AAAAA8AAAAAAAAAAAAAAAAABwIAAGRycy9kb3ducmV2LnhtbFBLBQYAAAAAAwADALcAAAD+AgAA&#10;AABBZ0FBQUFoQUUwRU==&#10;" filled="f" strokecolor="#4472c4 [3204]" strokeweight="2.25pt">
                          <v:stroke dashstyle="dash" opacity="37265f" joinstyle="miter"/>
                        </v:shape>
                        <v:shape id="Connector de fletxa recta 31" o:spid="_x0000_s1044" type="#_x0000_t32" style="position:absolute;left:35687;top:17399;width:3746;height:635;flip:y;visibility:visible" o:connectortype="straight" strokecolor="#4472c4" strokeweight="2.25pt">
                          <v:stroke endarrow="open" joinstyle="miter" endcap="round"/>
                        </v:shape>
                        <v:shape id="Connector de fletxa recta 32" o:spid="_x0000_s1045" type="#_x0000_t32" style="position:absolute;left:35877;top:20447;width:3239;height:762;visibility:visible" o:connectortype="straight" strokecolor="#4472c4" strokeweight="2.25pt">
                          <v:stroke endarrow="open" joinstyle="miter" endcap="round"/>
                        </v:shape>
                        <v:shape id="Connector de fletxa recta 36" o:spid="_x0000_s1046" type="#_x0000_t32" style="position:absolute;left:14732;top:7810;width:3378;height:8509;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7z2TyAAAAOAAAAAPAAAAZHJzL2Rvd25yZXYueG1sRI9Ba8JA&#10;FITvQv/D8gq9mV0VRKKrSEQplBaMHtrbI/tMgtm3IbuN8d93C4KXgWGYb5jVZrCN6KnztWMNk0SB&#10;IC6cqbnUcD7txwsQPiAbbByThjt52KxfRitMjbvxkfo8lCJC2KeooQqhTaX0RUUWfeJa4phdXGcx&#10;RNuV0nR4i3DbyKlSc2mx5rhQYUtZRcU1/7UavtTP4fhdYF4uZP852x0ydf/ItH57HXbLKNsliEBD&#10;eDYeiHejYTaH/0PxDMj1HwAAAP//AwBQSwECLQAUAAYACAAAACEA2+H2y+4AAACFAQAAEwAAAAAA&#10;AAAAAAAAAAAAAAAAW0NvbnRlbnRfVHlwZXNdLnhtbFBLAQItABQABgAIAAAAIQBa9CxbvwAAABUB&#10;AAALAAAAAAAAAAAAAAAAAB8BAABfcmVscy8ucmVsc1BLAQItABQABgAIAAAAIQDZ7z2TyAAAAOAA&#10;AAAPAAAAAAAAAAAAAAAAAAcCAABkcnMvZG93bnJldi54bWxQSwUGAAAAAAMAAwC3AAAA/AIAAAAA&#10;Z0FJQUFBQUl=&#10;" strokecolor="#4472c4" strokeweight="2.25pt">
                          <v:stroke dashstyle="dash" endarrow="open" opacity="37265f" joinstyle="miter" endcap="round"/>
                        </v:shape>
                        <v:shape id="Connector de fletxa recta 39" o:spid="_x0000_s1047" type="#_x0000_t32" style="position:absolute;left:27813;top:8064;width:2413;height:7112;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m2CtxwAAAOAAAAAPAAAAZHJzL2Rvd25yZXYueG1sRI9BawIx&#10;FITvQv9DeII3zVqh6GoUbSn0WK0evL1unpvFzcuySePWX28EwcvAMMw3zGLV2VpEan3lWMF4lIEg&#10;LpyuuFSw//kcTkH4gKyxdkwK/snDavnSW2Cu3YW3FHehFAnCPkcFJoQml9IXhiz6kWuIU3ZyrcWQ&#10;bFtK3eIlwW0tX7PsTVqsOC0YbOjdUHHe/VkFv9v9NR4Os3j9PmZnGctNbY4bpQb97mOeZD0HEagL&#10;z8YD8aUVTGZwP5TOgFzeAAAA//8DAFBLAQItABQABgAIAAAAIQDb4fbL7gAAAIUBAAATAAAAAAAA&#10;AAAAAAAAAAAAAABbQ29udGVudF9UeXBlc10ueG1sUEsBAi0AFAAGAAgAAAAhAFr0LFu/AAAAFQEA&#10;AAsAAAAAAAAAAAAAAAAAHwEAAF9yZWxzLy5yZWxzUEsBAi0AFAAGAAgAAAAhAEGbYK3HAAAA4AAA&#10;AA8AAAAAAAAAAAAAAAAABwIAAGRycy9kb3ducmV2LnhtbFBLBQYAAAAAAwADALcAAAD7AgAAAABH&#10;QUFnQUFBQU==&#10;" strokecolor="#4472c4" strokeweight="2.25pt">
                          <v:stroke dashstyle="dash" endarrow="open" opacity="37265f" joinstyle="miter" endcap="round"/>
                        </v:shape>
                        <v:shape id="Connector de fletxa recta 40" o:spid="_x0000_s1048" type="#_x0000_t32" style="position:absolute;left:32639;top:8445;width:1841;height:7176;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b4G7yAAAAOAAAAAPAAAAZHJzL2Rvd25yZXYueG1sRI9Ba8JA&#10;EIXvhf6HZQq9FN20SJHoKpKmUBAKjR48jtkxCcnOhuxWU3995yB4GXgM73t8y/XoOnWmITSeDbxO&#10;E1DEpbcNVwb2u8/JHFSIyBY7z2TgjwKsV48PS0ytv/APnYtYKYFwSNFAHWOfah3KmhyGqe+J5Xfy&#10;g8Mocai0HfAicNfptyR51w4bloUae8pqKtvi1xko6JrN5t/tcZu1L/mIlB8858Y8P40fCzmbBahI&#10;Y7w3bogva2AmCiIkMqBX/wAAAP//AwBQSwECLQAUAAYACAAAACEA2+H2y+4AAACFAQAAEwAAAAAA&#10;AAAAAAAAAAAAAAAAW0NvbnRlbnRfVHlwZXNdLnhtbFBLAQItABQABgAIAAAAIQBa9CxbvwAAABUB&#10;AAALAAAAAAAAAAAAAAAAAB8BAABfcmVscy8ucmVsc1BLAQItABQABgAIAAAAIQAdb4G7yAAAAOAA&#10;AAAPAAAAAAAAAAAAAAAAAAcCAABkcnMvZG93bnJldi54bWxQSwUGAAAAAAMAAwC3AAAA/AIAAAAA&#10;Z0FJQUFBQUl=&#10;" strokecolor="#4472c4" strokeweight="2.25pt">
                          <v:stroke dashstyle="dash" endarrow="open" opacity="37265f" joinstyle="miter" endcap="round"/>
                        </v:shape>
                        <v:group id="Agrupa 45" o:spid="_x0000_s1049" style="position:absolute;left:5588;width:32766;height:8318" coordsize="32766,83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GmUQyAAAAOAAAAAPAAAAZHJzL2Rvd25yZXYueG1sRI9Ba8JA&#10;FITvgv9heYK3ukmtRaKriFXpQYSqIN4e2WcSzL4N2TWJ/75bKHgZGIb5hpkvO1OKhmpXWFYQjyIQ&#10;xKnVBWcKzqft2xSE88gaS8uk4EkOlot+b46Jti3/UHP0mQgQdgkqyL2vEildmpNBN7IVcchutjbo&#10;g60zqWtsA9yU8j2KPqXBgsNCjhWtc0rvx4dRsGuxXY3jTbO/39bP62lyuOxjUmo46L5mQVYzEJ46&#10;/2r8I761go8J/B0KZ0AufgEAAP//AwBQSwECLQAUAAYACAAAACEA2+H2y+4AAACFAQAAEwAAAAAA&#10;AAAAAAAAAAAAAAAAW0NvbnRlbnRfVHlwZXNdLnhtbFBLAQItABQABgAIAAAAIQBa9CxbvwAAABUB&#10;AAALAAAAAAAAAAAAAAAAAB8BAABfcmVscy8ucmVsc1BLAQItABQABgAIAAAAIQBrGmUQyAAAAOAA&#10;AAAPAAAAAAAAAAAAAAAAAAcCAABkcnMvZG93bnJldi54bWxQSwUGAAAAAAMAAwC3AAAA/AIAAAAA&#10;Z0FJQUFBQUl=&#10;">
                          <v:oval id="Oval 37" o:spid="_x0000_s1050" style="position:absolute;width:13144;height:8064;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GkqCxwAAAOAAAAAPAAAAZHJzL2Rvd25yZXYueG1sRI9Ba8JA&#10;FITvBf/D8gRvdWMDrURXkUjBQ6FoC16f2WcSzL5NdleN/fWuIPQyMAzzDTNf9qYRF3K+tqxgMk5A&#10;EBdW11wq+P35fJ2C8AFZY2OZFNzIw3IxeJljpu2Vt3TZhVJECPsMFVQhtJmUvqjIoB/bljhmR+sM&#10;hmhdKbXDa4SbRr4lybs0WHNcqLClvKLitDsbBXneWX92x+/pn0/7Q9Kl3ddtr9Ro2K9nUVYzEIH6&#10;8N94IjZaQfoBj0PxDMjFHQAA//8DAFBLAQItABQABgAIAAAAIQDb4fbL7gAAAIUBAAATAAAAAAAA&#10;AAAAAAAAAAAAAABbQ29udGVudF9UeXBlc10ueG1sUEsBAi0AFAAGAAgAAAAhAFr0LFu/AAAAFQEA&#10;AAsAAAAAAAAAAAAAAAAAHwEAAF9yZWxzLy5yZWxzUEsBAi0AFAAGAAgAAAAhAOgaSoLHAAAA4AAA&#10;AA8AAAAAAAAAAAAAAAAABwIAAGRycy9kb3ducmV2LnhtbFBLBQYAAAAAAwADALcAAAD7AgAAAABH&#10;QUFnQUFBQU==&#10;" fillcolor="#4472c4 [3204]" stroked="f" strokeweight="1pt">
                            <v:fill opacity="37265f"/>
                            <v:stroke joinstyle="miter"/>
                            <v:textbox inset="0,0,0,0">
                              <w:txbxContent>
                                <w:p w14:paraId="770EEDCF" w14:textId="77777777" w:rsidR="0048041D" w:rsidRPr="00E668D1" w:rsidRDefault="0048041D" w:rsidP="00E668D1">
                                  <w:pPr>
                                    <w:jc w:val="center"/>
                                    <w:rPr>
                                      <w:rFonts w:asciiTheme="minorHAnsi" w:hAnsiTheme="minorHAnsi" w:cstheme="minorHAnsi"/>
                                      <w:b/>
                                    </w:rPr>
                                  </w:pPr>
                                  <w:r>
                                    <w:rPr>
                                      <w:rFonts w:asciiTheme="minorHAnsi" w:hAnsiTheme="minorHAnsi"/>
                                      <w:b/>
                                    </w:rPr>
                                    <w:t>Vrchní soud/</w:t>
                                  </w:r>
                                </w:p>
                                <w:p w14:paraId="12C61244" w14:textId="77777777" w:rsidR="0048041D" w:rsidRPr="00E668D1" w:rsidRDefault="009A148F" w:rsidP="00E668D1">
                                  <w:pPr>
                                    <w:jc w:val="center"/>
                                    <w:rPr>
                                      <w:rFonts w:asciiTheme="minorHAnsi" w:hAnsiTheme="minorHAnsi" w:cstheme="minorHAnsi"/>
                                      <w:b/>
                                    </w:rPr>
                                  </w:pPr>
                                  <w:r>
                                    <w:rPr>
                                      <w:rFonts w:asciiTheme="minorHAnsi" w:hAnsiTheme="minorHAnsi"/>
                                      <w:b/>
                                    </w:rPr>
                                    <w:t>ú</w:t>
                                  </w:r>
                                  <w:r w:rsidR="0048041D">
                                    <w:rPr>
                                      <w:rFonts w:asciiTheme="minorHAnsi" w:hAnsiTheme="minorHAnsi"/>
                                      <w:b/>
                                    </w:rPr>
                                    <w:t>stavní přezkum</w:t>
                                  </w:r>
                                </w:p>
                              </w:txbxContent>
                            </v:textbox>
                          </v:oval>
                          <v:oval id="Oval 38" o:spid="_x0000_s1051" style="position:absolute;left:19621;top:254;width:13145;height:8064;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mE1yAAAAOAAAAAPAAAAZHJzL2Rvd25yZXYueG1sRI/BSsNA&#10;EIbvQt9hGcGb3WhBStptKa2FehLbIngbstMkJDMbs2safXrnIHgZ+Bn+b+ZbrkduzUB9rIM4eJhm&#10;YEiK4GspHZxP+/s5mJhQPLZByME3RVivJjdLzH24yhsNx1QahUjM0UGVUpdbG4uKGOM0dCS6u4Se&#10;MWnsS+t7vCqcW/uYZU+WsRa9UGFH24qK5vjFDjiE5vTJ8/Tyc+F9en8ePl4b69zd7bhb6NgswCQa&#10;03/jD3HwDmb6sQqpDNjVLwAAAP//AwBQSwECLQAUAAYACAAAACEA2+H2y+4AAACFAQAAEwAAAAAA&#10;AAAAAAAAAAAAAAAAW0NvbnRlbnRfVHlwZXNdLnhtbFBLAQItABQABgAIAAAAIQBa9CxbvwAAABUB&#10;AAALAAAAAAAAAAAAAAAAAB8BAABfcmVscy8ucmVsc1BLAQItABQABgAIAAAAIQA/2mE1yAAAAOAA&#10;AAAPAAAAAAAAAAAAAAAAAAcCAABkcnMvZG93bnJldi54bWxQSwUGAAAAAAMAAwC3AAAA/AIAAAAA&#10;Z0FJQUFBQUl=&#10;" fillcolor="#4472c4" stroked="f" strokeweight="1pt">
                            <v:fill opacity="37265f"/>
                            <v:stroke joinstyle="miter"/>
                            <v:textbox inset="0,0,0,0">
                              <w:txbxContent>
                                <w:p w14:paraId="41215454" w14:textId="77777777" w:rsidR="0048041D" w:rsidRPr="00E668D1" w:rsidRDefault="0048041D" w:rsidP="00E668D1">
                                  <w:pPr>
                                    <w:jc w:val="center"/>
                                    <w:rPr>
                                      <w:rFonts w:asciiTheme="minorHAnsi" w:hAnsiTheme="minorHAnsi" w:cstheme="minorHAnsi"/>
                                      <w:b/>
                                      <w:color w:val="FFFFFF" w:themeColor="background1"/>
                                      <w:sz w:val="32"/>
                                      <w:szCs w:val="32"/>
                                    </w:rPr>
                                  </w:pPr>
                                  <w:r>
                                    <w:rPr>
                                      <w:rFonts w:asciiTheme="minorHAnsi" w:hAnsiTheme="minorHAnsi"/>
                                      <w:b/>
                                      <w:color w:val="FFFFFF" w:themeColor="background1"/>
                                      <w:sz w:val="32"/>
                                    </w:rPr>
                                    <w:t>Judikatura SDEU</w:t>
                                  </w:r>
                                </w:p>
                              </w:txbxContent>
                            </v:textbox>
                          </v:oval>
                        </v:group>
                        <v:shape id="Connector 43" o:spid="_x0000_s1052" type="#_x0000_t120" style="position:absolute;left:19050;top:6858;width:7677;height:5352;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wMxQxwAAAOAAAAAPAAAAZHJzL2Rvd25yZXYueG1sRI9Pa8JA&#10;FMTvQr/D8gredNP6BxvdBFHEHtu0hx5fsq9J2uzbkF11/fbdguBlYBjmN8wmD6YTZxpca1nB0zQB&#10;QVxZ3XKt4PPjMFmBcB5ZY2eZFFzJQZ49jDaYanvhdzoXvhYRwi5FBY33fSqlqxoy6Ka2J47Ztx0M&#10;+miHWuoBLxFuOvmcJEtpsOW40GBPu4aq3+JkFKxeTLgW+m1Zhuqn+yrL42JLrNT4MezXUbZrEJ6C&#10;vzduiFetYD6D/0PxDMjsDwAA//8DAFBLAQItABQABgAIAAAAIQDb4fbL7gAAAIUBAAATAAAAAAAA&#10;AAAAAAAAAAAAAABbQ29udGVudF9UeXBlc10ueG1sUEsBAi0AFAAGAAgAAAAhAFr0LFu/AAAAFQEA&#10;AAsAAAAAAAAAAAAAAAAAHwEAAF9yZWxzLy5yZWxzUEsBAi0AFAAGAAgAAAAhADnAzFDHAAAA4AAA&#10;AA8AAAAAAAAAAAAAAAAABwIAAGRycy9kb3ducmV2LnhtbFBLBQYAAAAAAwADALcAAAD7AgAAAABH&#10;QUFnQUFBQU==&#10;" filled="f" strokecolor="#4472c4" strokeweight="2.25pt">
                          <v:stroke dashstyle="dash" opacity="37265f" joinstyle="miter"/>
                        </v:shape>
                      </v:group>
                    </v:group>
                    <v:shape id="Quadre de text 44" o:spid="_x0000_s1053" type="#_x0000_t202" style="position:absolute;left:17526;top:6985;width:10096;height:5143;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p7qtyAAAAOAAAAAPAAAAZHJzL2Rvd25yZXYueG1sRI9Ba8JA&#10;FITvgv9heUIvopuWYCW6SrEUcshFWwreHtlnNph9m+5uY/rvu4WCl4FhmG+Y7X60nRjIh9axgsdl&#10;BoK4drrlRsHH+9tiDSJEZI2dY1LwQwH2u+lki4V2Nz7ScIqNSBAOBSowMfaFlKE2ZDEsXU+csovz&#10;FmOyvpHa4y3BbSefsmwlLbacFgz2dDBUX0/fVsHwWeb6OJjo54eqzMpr9fV8rpR6mI2vmyQvGxCR&#10;xnhv/CNKrSDP4e9QOgNy9wsAAP//AwBQSwECLQAUAAYACAAAACEA2+H2y+4AAACFAQAAEwAAAAAA&#10;AAAAAAAAAAAAAAAAW0NvbnRlbnRfVHlwZXNdLnhtbFBLAQItABQABgAIAAAAIQBa9CxbvwAAABUB&#10;AAALAAAAAAAAAAAAAAAAAB8BAABfcmVscy8ucmVsc1BLAQItABQABgAIAAAAIQCRp7qtyAAAAOAA&#10;AAAPAAAAAAAAAAAAAAAAAAcCAABkcnMvZG93bnJldi54bWxQSwUGAAAAAAMAAwC3AAAA/AIAAAAA&#10;Z0FJQUFBQUl=&#10;" filled="f" stroked="f" strokeweight=".5pt">
                      <v:textbox>
                        <w:txbxContent>
                          <w:p w14:paraId="24329837" w14:textId="77777777" w:rsidR="0048041D" w:rsidRPr="00F943A2" w:rsidRDefault="0048041D" w:rsidP="00F943A2">
                            <w:pPr>
                              <w:jc w:val="center"/>
                              <w:rPr>
                                <w:rFonts w:asciiTheme="minorHAnsi" w:hAnsiTheme="minorHAnsi" w:cstheme="minorHAnsi"/>
                                <w:b/>
                                <w:color w:val="4472C4" w:themeColor="accent1"/>
                                <w:sz w:val="20"/>
                                <w:szCs w:val="20"/>
                              </w:rPr>
                            </w:pPr>
                            <w:r>
                              <w:rPr>
                                <w:rFonts w:asciiTheme="minorHAnsi" w:hAnsiTheme="minorHAnsi"/>
                                <w:b/>
                                <w:color w:val="4472C4" w:themeColor="accent1"/>
                                <w:sz w:val="20"/>
                              </w:rPr>
                              <w:t>Zásada přednosti unijního práva</w:t>
                            </w:r>
                          </w:p>
                          <w:p w14:paraId="44063EE3" w14:textId="77777777" w:rsidR="0048041D" w:rsidRPr="00F943A2" w:rsidRDefault="0048041D" w:rsidP="00F943A2">
                            <w:pPr>
                              <w:jc w:val="center"/>
                              <w:rPr>
                                <w:rFonts w:asciiTheme="minorHAnsi" w:hAnsiTheme="minorHAnsi" w:cstheme="minorHAnsi"/>
                                <w:color w:val="4472C4" w:themeColor="accent1"/>
                              </w:rPr>
                            </w:pPr>
                          </w:p>
                        </w:txbxContent>
                      </v:textbox>
                    </v:shape>
                  </v:group>
                </v:group>
              </w:pict>
            </w:r>
          </w:p>
          <w:p w14:paraId="3DC7A6F4" w14:textId="77777777" w:rsidR="0093649B" w:rsidRPr="007D56D6" w:rsidRDefault="0093649B" w:rsidP="00EF37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540" w:lineRule="atLeast"/>
              <w:rPr>
                <w:rFonts w:asciiTheme="minorHAnsi" w:hAnsiTheme="minorHAnsi" w:cstheme="minorHAnsi"/>
                <w:color w:val="1F1F1F"/>
                <w:sz w:val="24"/>
                <w:szCs w:val="24"/>
              </w:rPr>
            </w:pPr>
          </w:p>
          <w:p w14:paraId="2F5CC61E" w14:textId="77777777" w:rsidR="00C216B6" w:rsidRPr="007D56D6" w:rsidRDefault="00C216B6" w:rsidP="00EF37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540" w:lineRule="atLeast"/>
              <w:rPr>
                <w:rFonts w:asciiTheme="minorHAnsi" w:hAnsiTheme="minorHAnsi" w:cstheme="minorHAnsi"/>
                <w:color w:val="1F1F1F"/>
                <w:sz w:val="24"/>
                <w:szCs w:val="24"/>
              </w:rPr>
            </w:pPr>
          </w:p>
          <w:p w14:paraId="152940D2" w14:textId="77777777" w:rsidR="0093649B" w:rsidRPr="007D56D6" w:rsidRDefault="0093649B" w:rsidP="00EF37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540" w:lineRule="atLeast"/>
              <w:rPr>
                <w:rFonts w:asciiTheme="minorHAnsi" w:hAnsiTheme="minorHAnsi" w:cstheme="minorHAnsi"/>
                <w:color w:val="1F1F1F"/>
                <w:sz w:val="24"/>
                <w:szCs w:val="24"/>
              </w:rPr>
            </w:pPr>
          </w:p>
          <w:p w14:paraId="6AA87C8C" w14:textId="77777777" w:rsidR="0093649B" w:rsidRPr="007D56D6" w:rsidRDefault="0093649B" w:rsidP="00EF37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540" w:lineRule="atLeast"/>
              <w:rPr>
                <w:rFonts w:asciiTheme="minorHAnsi" w:hAnsiTheme="minorHAnsi" w:cstheme="minorHAnsi"/>
                <w:color w:val="1F1F1F"/>
                <w:sz w:val="24"/>
                <w:szCs w:val="24"/>
              </w:rPr>
            </w:pPr>
          </w:p>
          <w:p w14:paraId="5CBEF2E8" w14:textId="77777777" w:rsidR="0093649B" w:rsidRPr="007D56D6" w:rsidRDefault="0093649B" w:rsidP="00EF37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540" w:lineRule="atLeast"/>
              <w:rPr>
                <w:rFonts w:asciiTheme="minorHAnsi" w:hAnsiTheme="minorHAnsi" w:cstheme="minorHAnsi"/>
                <w:color w:val="1F1F1F"/>
                <w:sz w:val="24"/>
                <w:szCs w:val="24"/>
              </w:rPr>
            </w:pPr>
          </w:p>
          <w:p w14:paraId="24798546" w14:textId="77777777" w:rsidR="0093649B" w:rsidRPr="007D56D6" w:rsidRDefault="0093649B" w:rsidP="00EF37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540" w:lineRule="atLeast"/>
              <w:rPr>
                <w:rFonts w:asciiTheme="minorHAnsi" w:hAnsiTheme="minorHAnsi" w:cstheme="minorHAnsi"/>
                <w:color w:val="1F1F1F"/>
                <w:sz w:val="24"/>
                <w:szCs w:val="24"/>
              </w:rPr>
            </w:pPr>
          </w:p>
          <w:p w14:paraId="64FAA3D9" w14:textId="77777777" w:rsidR="0093649B" w:rsidRPr="007D56D6" w:rsidRDefault="0093649B" w:rsidP="00EF37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540" w:lineRule="atLeast"/>
              <w:rPr>
                <w:rFonts w:asciiTheme="minorHAnsi" w:hAnsiTheme="minorHAnsi" w:cstheme="minorHAnsi"/>
                <w:color w:val="1F1F1F"/>
                <w:sz w:val="24"/>
                <w:szCs w:val="24"/>
              </w:rPr>
            </w:pPr>
          </w:p>
          <w:p w14:paraId="7E6C985D" w14:textId="77777777" w:rsidR="00F74EFF" w:rsidRPr="007D56D6" w:rsidRDefault="00F74EFF" w:rsidP="00EF37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540" w:lineRule="atLeast"/>
              <w:rPr>
                <w:rFonts w:asciiTheme="minorHAnsi" w:hAnsiTheme="minorHAnsi" w:cstheme="minorHAnsi"/>
                <w:color w:val="1F1F1F"/>
                <w:sz w:val="24"/>
                <w:szCs w:val="24"/>
              </w:rPr>
            </w:pPr>
          </w:p>
        </w:tc>
      </w:tr>
    </w:tbl>
    <w:p w14:paraId="4CD0F122" w14:textId="77777777" w:rsidR="000E441E" w:rsidRPr="00862391" w:rsidRDefault="00000000" w:rsidP="00662304">
      <w:pPr>
        <w:spacing w:line="276" w:lineRule="auto"/>
        <w:jc w:val="both"/>
        <w:rPr>
          <w:rStyle w:val="y2iqfc"/>
          <w:color w:val="384575"/>
        </w:rPr>
      </w:pPr>
      <w:r w:rsidRPr="00862391">
        <w:rPr>
          <w:rStyle w:val="y2iqfc"/>
          <w:color w:val="384575"/>
        </w:rPr>
        <w:pict w14:anchorId="259A50A6">
          <v:rect id="_x0000_s1054" style="position:absolute;left:0;text-align:left;margin-left:286.45pt;margin-top:69.15pt;width:132.35pt;height:147.5pt;z-index:251662336;visibility:visible;mso-wrap-distance-left:36pt;mso-wrap-distance-right:9.35pt;mso-position-horizontal-relative:margin;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etjfNwIAAI8EAAAOAAAAZHJzL2Uyb0RvYy54bWysVNuO0zAQfUfiHyy/s0m6LdtGTVerrhYh&#10;LRex8AGO4zQBx2PGbpPy9Tt202wFEg+Il8jj8TlzO5P17dBpdlDoWjAFz65SzpSRULVmV/BvXx/e&#10;LDlzXphKaDCq4Efl+O3m9at1b3M1gwZ0pZARiXF5bwveeG/zJHGyUZ1wV2CVIWcN2AlPJu6SCkVP&#10;7J1OZmn6NukBK4sglXN0e39y8k3kr2sl/ae6dsozXXDKzccvxm8ZvslmLfIdCtu0ckxD/EMWnWgN&#10;BZ2o7oUXbI/tH1RdKxEc1P5KQpdAXbdSxRqomiz9rZqnRlgVa6HmODu1yf0/Wvnx8GQ/Y0jd2UeQ&#10;PxwzsG2E2ak7ROgbJSoKl4VGJb11+QQIhiMoK/sPUNFoxd5D7MFQYxcIqTo2xFYfp1arwTNJl9nN&#10;cr5aLjiT5KPSZ6tFHEYi8jPcovPvFHQsHAqONMtILw6Pzod0RH5+EqIZeGi1jvPUhvUUYrG8WUTE&#10;5CKINmMhIfcgE6rCH7UKFNp8UTVrq5h0bInEXbnVyE6KIUmThs66iWQECA9rCj1hszS9jnGjilXA&#10;HwTpT/tTG6fnAamiSCdsOgL/HncCxdhg/ITvxHfAaVhjZaFIP5QDlUZtuQ7ucFVCdaT5IZy2graY&#10;Dg3gL8562oiCu597gYoz/d6QBlbZfB5W6NLAS6O8NISRRFVwz9npuPWnJu4ttruGImXjbO5IN3Ub&#10;J/qS1TgkUn0c9LihYa0u7fjq5T+yeQYAAP//AwBQSwMEFAAGAAgAAAAhADy8BbzkAAAAEAEAAA8A&#10;AABkcnMvZG93bnJldi54bWxMj0FPwzAMhe9I/IfISNxYyrqOrms6IRASlwkxEOe0MWmhcaom67p/&#10;jznBxZL1np/fV+5m14sJx9B5UnC7SEAgNd50ZBW8vz3d5CBC1GR07wkVnDHArrq8KHVh/IlecTpE&#10;KziEQqEVtDEOhZShadHpsPADEmuffnQ68jpaaUZ94nDXy2WSrKXTHfGHVg/40GLzfTg6BTGp7d5m&#10;eRxT/Po4++X0rPcvSl1fzY9bHvdbEBHn+HcBvwzcHyouVvsjmSB6BdlmtWErC2megmBHfrdmxFrB&#10;KstSkFUp/4NUPwAAAP//AwBQSwECLQAUAAYACAAAACEAtoM4kv4AAADhAQAAEwAAAAAAAAAAAAAA&#10;AAAAAAAAW0NvbnRlbnRfVHlwZXNdLnhtbFBLAQItABQABgAIAAAAIQA4/SH/1gAAAJQBAAALAAAA&#10;AAAAAAAAAAAAAC8BAABfcmVscy8ucmVsc1BLAQItABQABgAIAAAAIQDQetjfNwIAAI8EAAAOAAAA&#10;AAAAAAAAAAAAAC4CAABkcnMvZTJvRG9jLnhtbFBLAQItABQABgAIAAAAIQA8vAW85AAAABABAAAP&#10;AAAAAAAAAAAAAAAAAJEEAABkcnMvZG93bnJldi54bWxQSwUGAAAAAAQABADzAAAAogUAAAAAQUFB&#10;QUFBQUFBQUFBSkVFQUFCa2N=&#10;" o:allowincell="f" filled="f" stroked="f" strokeweight="1.25pt">
            <v:textbox inset=",7.2pt,,7.2pt">
              <w:txbxContent>
                <w:p w14:paraId="353BC778" w14:textId="77777777" w:rsidR="0048041D" w:rsidRPr="00600AB8" w:rsidRDefault="0048041D" w:rsidP="00600AB8">
                  <w:pPr>
                    <w:pBdr>
                      <w:left w:val="single" w:sz="4" w:space="9" w:color="4472C4" w:themeColor="accent1"/>
                    </w:pBdr>
                    <w:jc w:val="both"/>
                    <w:rPr>
                      <w:rFonts w:asciiTheme="majorHAnsi" w:eastAsiaTheme="majorEastAsia" w:hAnsiTheme="majorHAnsi" w:cstheme="majorBidi"/>
                      <w:color w:val="2F5496" w:themeColor="accent1" w:themeShade="BF"/>
                      <w:sz w:val="36"/>
                      <w:szCs w:val="36"/>
                    </w:rPr>
                  </w:pPr>
                  <w:r>
                    <w:rPr>
                      <w:rFonts w:asciiTheme="majorHAnsi" w:hAnsiTheme="majorHAnsi"/>
                      <w:color w:val="2F5496" w:themeColor="accent1" w:themeShade="BF"/>
                      <w:sz w:val="36"/>
                    </w:rPr>
                    <w:t xml:space="preserve">Jednotný výklad </w:t>
                  </w:r>
                </w:p>
                <w:p w14:paraId="51600CE0" w14:textId="77777777" w:rsidR="0048041D" w:rsidRPr="00600AB8" w:rsidRDefault="0048041D" w:rsidP="00600AB8">
                  <w:pPr>
                    <w:pBdr>
                      <w:left w:val="single" w:sz="4" w:space="9" w:color="4472C4" w:themeColor="accent1"/>
                    </w:pBdr>
                    <w:jc w:val="both"/>
                    <w:rPr>
                      <w:color w:val="2F5496" w:themeColor="accent1" w:themeShade="BF"/>
                      <w:sz w:val="20"/>
                      <w:szCs w:val="20"/>
                    </w:rPr>
                  </w:pPr>
                  <w:r>
                    <w:rPr>
                      <w:color w:val="2F5496" w:themeColor="accent1" w:themeShade="BF"/>
                      <w:sz w:val="20"/>
                    </w:rPr>
                    <w:t>předvídá a řeší přímé rozpory mezi:</w:t>
                  </w:r>
                </w:p>
                <w:p w14:paraId="6CDAD5BF" w14:textId="77777777" w:rsidR="0048041D" w:rsidRPr="00600AB8" w:rsidRDefault="0048041D" w:rsidP="00600AB8">
                  <w:pPr>
                    <w:pBdr>
                      <w:left w:val="single" w:sz="4" w:space="9" w:color="4472C4" w:themeColor="accent1"/>
                    </w:pBdr>
                    <w:jc w:val="both"/>
                    <w:rPr>
                      <w:color w:val="2F5496" w:themeColor="accent1" w:themeShade="BF"/>
                      <w:sz w:val="20"/>
                      <w:szCs w:val="20"/>
                    </w:rPr>
                  </w:pPr>
                  <w:r>
                    <w:rPr>
                      <w:color w:val="2F5496" w:themeColor="accent1" w:themeShade="BF"/>
                      <w:sz w:val="20"/>
                    </w:rPr>
                    <w:t>1) právními normami vnitrostátního původu a EU/EÚLP, 2) pr</w:t>
                  </w:r>
                  <w:r w:rsidR="009A148F">
                    <w:rPr>
                      <w:color w:val="2F5496" w:themeColor="accent1" w:themeShade="BF"/>
                      <w:sz w:val="20"/>
                    </w:rPr>
                    <w:t xml:space="preserve">avidly EU a EÚLP a </w:t>
                  </w:r>
                  <w:r>
                    <w:rPr>
                      <w:color w:val="2F5496" w:themeColor="accent1" w:themeShade="BF"/>
                      <w:sz w:val="20"/>
                    </w:rPr>
                    <w:t>3) rozdílnými rozhodnutími vnitrostátního práva s ohledem na právo EU/EÚLP.</w:t>
                  </w:r>
                </w:p>
              </w:txbxContent>
            </v:textbox>
            <w10:wrap type="square" anchorx="margin"/>
          </v:rect>
        </w:pict>
      </w:r>
      <w:r w:rsidR="00600AB8" w:rsidRPr="00862391">
        <w:rPr>
          <w:rStyle w:val="y2iqfc"/>
          <w:color w:val="384575"/>
        </w:rPr>
        <w:t>Aby se advokát mohl rozhodnout, která strategie je nejlepší, musí prozkoumat, zda existuje rozpor mezi vnitrostátními pravidly</w:t>
      </w:r>
      <w:r w:rsidR="00460264" w:rsidRPr="00862391">
        <w:rPr>
          <w:rStyle w:val="y2iqfc"/>
          <w:color w:val="384575"/>
        </w:rPr>
        <w:t xml:space="preserve"> a </w:t>
      </w:r>
      <w:r w:rsidR="00600AB8" w:rsidRPr="00862391">
        <w:rPr>
          <w:rStyle w:val="y2iqfc"/>
          <w:color w:val="384575"/>
        </w:rPr>
        <w:t>pravidly zavedenými Listinou. Vnitrostátní soudy mají od počátku povinnost provést výklad</w:t>
      </w:r>
      <w:r w:rsidR="00460264" w:rsidRPr="00862391">
        <w:rPr>
          <w:rStyle w:val="y2iqfc"/>
          <w:color w:val="384575"/>
        </w:rPr>
        <w:t xml:space="preserve"> s </w:t>
      </w:r>
      <w:r w:rsidR="00600AB8" w:rsidRPr="00862391">
        <w:rPr>
          <w:rStyle w:val="y2iqfc"/>
          <w:color w:val="384575"/>
        </w:rPr>
        <w:t>ohledem na znění</w:t>
      </w:r>
      <w:r w:rsidR="00460264" w:rsidRPr="00862391">
        <w:rPr>
          <w:rStyle w:val="y2iqfc"/>
          <w:color w:val="384575"/>
        </w:rPr>
        <w:t xml:space="preserve"> a </w:t>
      </w:r>
      <w:r w:rsidR="00600AB8" w:rsidRPr="00862391">
        <w:rPr>
          <w:rStyle w:val="y2iqfc"/>
          <w:color w:val="384575"/>
        </w:rPr>
        <w:t>cíl platných právních předpisů EU</w:t>
      </w:r>
      <w:r w:rsidR="00460264" w:rsidRPr="00862391">
        <w:rPr>
          <w:rStyle w:val="y2iqfc"/>
          <w:color w:val="384575"/>
        </w:rPr>
        <w:t xml:space="preserve"> a </w:t>
      </w:r>
      <w:r w:rsidR="00600AB8" w:rsidRPr="00862391">
        <w:rPr>
          <w:rStyle w:val="y2iqfc"/>
          <w:color w:val="384575"/>
        </w:rPr>
        <w:t>Listiny. Jinými slovy</w:t>
      </w:r>
      <w:r w:rsidR="00600AB8" w:rsidRPr="00862391">
        <w:rPr>
          <w:color w:val="384575"/>
        </w:rPr>
        <w:t>, právní předpisy musí být vykládány</w:t>
      </w:r>
      <w:r w:rsidR="00460264" w:rsidRPr="00862391">
        <w:rPr>
          <w:color w:val="384575"/>
        </w:rPr>
        <w:t xml:space="preserve"> s </w:t>
      </w:r>
      <w:r w:rsidR="00600AB8" w:rsidRPr="00862391">
        <w:rPr>
          <w:color w:val="384575"/>
        </w:rPr>
        <w:t>ohledem na základní práva EU,</w:t>
      </w:r>
      <w:r w:rsidR="00460264" w:rsidRPr="00862391">
        <w:rPr>
          <w:color w:val="384575"/>
        </w:rPr>
        <w:t xml:space="preserve"> a </w:t>
      </w:r>
      <w:r w:rsidR="00600AB8" w:rsidRPr="00862391">
        <w:rPr>
          <w:color w:val="384575"/>
        </w:rPr>
        <w:t>pokud lze smysl těchto právních předpisů vykládat různě, musí být upřednostněn výklad, který je nejvíce</w:t>
      </w:r>
      <w:r w:rsidR="00460264" w:rsidRPr="00862391">
        <w:rPr>
          <w:color w:val="384575"/>
        </w:rPr>
        <w:t xml:space="preserve"> v </w:t>
      </w:r>
      <w:r w:rsidR="00600AB8" w:rsidRPr="00862391">
        <w:rPr>
          <w:color w:val="384575"/>
        </w:rPr>
        <w:t xml:space="preserve">souladu se základními právy EU. </w:t>
      </w:r>
      <w:r w:rsidR="00600AB8" w:rsidRPr="00862391">
        <w:rPr>
          <w:rStyle w:val="y2iqfc"/>
          <w:color w:val="384575"/>
        </w:rPr>
        <w:t>Jednotný výklad umožňuje vykládat vnitrostátní právo</w:t>
      </w:r>
      <w:r w:rsidR="00460264" w:rsidRPr="00862391">
        <w:rPr>
          <w:rStyle w:val="y2iqfc"/>
          <w:color w:val="384575"/>
        </w:rPr>
        <w:t xml:space="preserve"> v </w:t>
      </w:r>
      <w:r w:rsidR="00600AB8" w:rsidRPr="00862391">
        <w:rPr>
          <w:rStyle w:val="y2iqfc"/>
          <w:color w:val="384575"/>
        </w:rPr>
        <w:t>souladu</w:t>
      </w:r>
      <w:r w:rsidR="00460264" w:rsidRPr="00862391">
        <w:rPr>
          <w:rStyle w:val="y2iqfc"/>
          <w:color w:val="384575"/>
        </w:rPr>
        <w:t xml:space="preserve"> s </w:t>
      </w:r>
      <w:r w:rsidR="00600AB8" w:rsidRPr="00862391">
        <w:rPr>
          <w:rStyle w:val="y2iqfc"/>
          <w:color w:val="384575"/>
        </w:rPr>
        <w:t>unijním právem,</w:t>
      </w:r>
      <w:r w:rsidR="00460264" w:rsidRPr="00862391">
        <w:rPr>
          <w:rStyle w:val="y2iqfc"/>
          <w:color w:val="384575"/>
        </w:rPr>
        <w:t xml:space="preserve"> a </w:t>
      </w:r>
      <w:r w:rsidR="00600AB8" w:rsidRPr="00862391">
        <w:rPr>
          <w:rStyle w:val="y2iqfc"/>
          <w:color w:val="384575"/>
        </w:rPr>
        <w:t>to</w:t>
      </w:r>
      <w:r w:rsidR="00460264" w:rsidRPr="00862391">
        <w:rPr>
          <w:rStyle w:val="y2iqfc"/>
          <w:color w:val="384575"/>
        </w:rPr>
        <w:t xml:space="preserve"> i </w:t>
      </w:r>
      <w:r w:rsidR="00600AB8" w:rsidRPr="00862391">
        <w:rPr>
          <w:rStyle w:val="y2iqfc"/>
          <w:color w:val="384575"/>
        </w:rPr>
        <w:t>v případě, že vnitrostátní zákonodárce dosud příslušnou normu sekundárního práva neprovedl do vnitrostátního práva</w:t>
      </w:r>
      <w:r w:rsidR="00600AB8" w:rsidRPr="00862391">
        <w:rPr>
          <w:color w:val="384575"/>
        </w:rPr>
        <w:t xml:space="preserve">. </w:t>
      </w:r>
      <w:r w:rsidR="00600AB8" w:rsidRPr="00862391">
        <w:rPr>
          <w:rStyle w:val="y2iqfc"/>
          <w:color w:val="384575"/>
        </w:rPr>
        <w:t>Někdy jednotný výklad neumožňuje dosáhnout toho, aby vnitrostátní právní ustanovení bylo</w:t>
      </w:r>
      <w:r w:rsidR="00460264" w:rsidRPr="00862391">
        <w:rPr>
          <w:rStyle w:val="y2iqfc"/>
          <w:color w:val="384575"/>
        </w:rPr>
        <w:t xml:space="preserve"> v </w:t>
      </w:r>
      <w:r w:rsidR="00600AB8" w:rsidRPr="00862391">
        <w:rPr>
          <w:rStyle w:val="y2iqfc"/>
          <w:color w:val="384575"/>
        </w:rPr>
        <w:t>souladu</w:t>
      </w:r>
      <w:r w:rsidR="00460264" w:rsidRPr="00862391">
        <w:rPr>
          <w:rStyle w:val="y2iqfc"/>
          <w:color w:val="384575"/>
        </w:rPr>
        <w:t xml:space="preserve"> s </w:t>
      </w:r>
      <w:r w:rsidR="00600AB8" w:rsidRPr="00862391">
        <w:rPr>
          <w:rStyle w:val="y2iqfc"/>
          <w:color w:val="384575"/>
        </w:rPr>
        <w:t>tím, co je uvedeno</w:t>
      </w:r>
      <w:r w:rsidR="00460264" w:rsidRPr="00862391">
        <w:rPr>
          <w:rStyle w:val="y2iqfc"/>
          <w:color w:val="384575"/>
        </w:rPr>
        <w:t xml:space="preserve"> v </w:t>
      </w:r>
      <w:r w:rsidR="00600AB8" w:rsidRPr="00862391">
        <w:rPr>
          <w:rStyle w:val="y2iqfc"/>
          <w:color w:val="384575"/>
        </w:rPr>
        <w:t>Listině EU.</w:t>
      </w:r>
      <w:r w:rsidR="00460264" w:rsidRPr="00862391">
        <w:rPr>
          <w:rStyle w:val="y2iqfc"/>
          <w:color w:val="384575"/>
        </w:rPr>
        <w:t xml:space="preserve"> V </w:t>
      </w:r>
      <w:r w:rsidR="00600AB8" w:rsidRPr="00862391">
        <w:rPr>
          <w:rStyle w:val="y2iqfc"/>
          <w:color w:val="384575"/>
        </w:rPr>
        <w:t>každém případě se může vnitrostátní soud, pokud má pochybnosti</w:t>
      </w:r>
      <w:r w:rsidR="00460264" w:rsidRPr="00862391">
        <w:rPr>
          <w:rStyle w:val="y2iqfc"/>
          <w:color w:val="384575"/>
        </w:rPr>
        <w:t xml:space="preserve"> o </w:t>
      </w:r>
      <w:r w:rsidR="00600AB8" w:rsidRPr="00862391">
        <w:rPr>
          <w:rStyle w:val="y2iqfc"/>
          <w:color w:val="384575"/>
        </w:rPr>
        <w:t>jednotném výkladu, rozhodnout, že požádá SDEU</w:t>
      </w:r>
      <w:r w:rsidR="00460264" w:rsidRPr="00862391">
        <w:rPr>
          <w:rStyle w:val="y2iqfc"/>
          <w:color w:val="384575"/>
        </w:rPr>
        <w:t xml:space="preserve"> o </w:t>
      </w:r>
      <w:r w:rsidR="00600AB8" w:rsidRPr="00862391">
        <w:rPr>
          <w:rStyle w:val="y2iqfc"/>
          <w:color w:val="384575"/>
        </w:rPr>
        <w:t>rozhodnutí</w:t>
      </w:r>
      <w:r w:rsidR="00460264" w:rsidRPr="00862391">
        <w:rPr>
          <w:rStyle w:val="y2iqfc"/>
          <w:color w:val="384575"/>
        </w:rPr>
        <w:t xml:space="preserve"> o </w:t>
      </w:r>
      <w:r w:rsidR="00600AB8" w:rsidRPr="00862391">
        <w:rPr>
          <w:rStyle w:val="y2iqfc"/>
          <w:color w:val="384575"/>
        </w:rPr>
        <w:t>předběžné otázce.</w:t>
      </w:r>
    </w:p>
    <w:p w14:paraId="06BF8F01" w14:textId="77777777" w:rsidR="009A148F" w:rsidRPr="00862391" w:rsidRDefault="009A148F" w:rsidP="00662304">
      <w:pPr>
        <w:spacing w:line="276" w:lineRule="auto"/>
        <w:jc w:val="both"/>
        <w:rPr>
          <w:color w:val="384575"/>
        </w:rPr>
      </w:pPr>
    </w:p>
    <w:p w14:paraId="7DDDD12E" w14:textId="77777777" w:rsidR="008F1F7C" w:rsidRPr="00862391" w:rsidRDefault="008F1F7C" w:rsidP="00F37B27">
      <w:pPr>
        <w:pStyle w:val="FormtovanvHTML"/>
        <w:spacing w:after="120" w:line="276" w:lineRule="auto"/>
        <w:jc w:val="both"/>
        <w:rPr>
          <w:rStyle w:val="y2iqfc"/>
          <w:rFonts w:ascii="Times New Roman" w:hAnsi="Times New Roman" w:cs="Times New Roman"/>
          <w:color w:val="384575"/>
          <w:sz w:val="24"/>
          <w:szCs w:val="24"/>
        </w:rPr>
      </w:pPr>
      <w:r w:rsidRPr="00862391">
        <w:rPr>
          <w:rStyle w:val="y2iqfc"/>
          <w:rFonts w:ascii="Times New Roman" w:hAnsi="Times New Roman"/>
          <w:color w:val="384575"/>
          <w:sz w:val="24"/>
        </w:rPr>
        <w:t>Rozhodnutí</w:t>
      </w:r>
      <w:r w:rsidR="00460264" w:rsidRPr="00862391">
        <w:rPr>
          <w:rStyle w:val="y2iqfc"/>
          <w:rFonts w:ascii="Times New Roman" w:hAnsi="Times New Roman"/>
          <w:color w:val="384575"/>
          <w:sz w:val="24"/>
        </w:rPr>
        <w:t xml:space="preserve"> o </w:t>
      </w:r>
      <w:r w:rsidRPr="00862391">
        <w:rPr>
          <w:rStyle w:val="y2iqfc"/>
          <w:rFonts w:ascii="Times New Roman" w:hAnsi="Times New Roman"/>
          <w:color w:val="384575"/>
          <w:sz w:val="24"/>
        </w:rPr>
        <w:t>předběžných otázkách jsou upravena</w:t>
      </w:r>
      <w:r w:rsidR="00460264" w:rsidRPr="00862391">
        <w:rPr>
          <w:rStyle w:val="y2iqfc"/>
          <w:rFonts w:ascii="Times New Roman" w:hAnsi="Times New Roman"/>
          <w:color w:val="384575"/>
          <w:sz w:val="24"/>
        </w:rPr>
        <w:t xml:space="preserve"> v čl. </w:t>
      </w:r>
      <w:r w:rsidRPr="00862391">
        <w:rPr>
          <w:rStyle w:val="y2iqfc"/>
          <w:rFonts w:ascii="Times New Roman" w:hAnsi="Times New Roman"/>
          <w:color w:val="384575"/>
          <w:sz w:val="24"/>
        </w:rPr>
        <w:t>267 SFEU. Jejich cílem je podpora soudní spolupráce mezi SDEU</w:t>
      </w:r>
      <w:r w:rsidR="00460264" w:rsidRPr="00862391">
        <w:rPr>
          <w:rStyle w:val="y2iqfc"/>
          <w:rFonts w:ascii="Times New Roman" w:hAnsi="Times New Roman"/>
          <w:color w:val="384575"/>
          <w:sz w:val="24"/>
        </w:rPr>
        <w:t xml:space="preserve"> a </w:t>
      </w:r>
      <w:r w:rsidRPr="00862391">
        <w:rPr>
          <w:rStyle w:val="y2iqfc"/>
          <w:rFonts w:ascii="Times New Roman" w:hAnsi="Times New Roman"/>
          <w:color w:val="384575"/>
          <w:sz w:val="24"/>
        </w:rPr>
        <w:t>vnitrostátními soudy za účelem zajištění jednotného uplatňování</w:t>
      </w:r>
      <w:r w:rsidR="00460264" w:rsidRPr="00862391">
        <w:rPr>
          <w:rStyle w:val="y2iqfc"/>
          <w:rFonts w:ascii="Times New Roman" w:hAnsi="Times New Roman"/>
          <w:color w:val="384575"/>
          <w:sz w:val="24"/>
        </w:rPr>
        <w:t xml:space="preserve"> a </w:t>
      </w:r>
      <w:r w:rsidRPr="00862391">
        <w:rPr>
          <w:rStyle w:val="y2iqfc"/>
          <w:rFonts w:ascii="Times New Roman" w:hAnsi="Times New Roman"/>
          <w:color w:val="384575"/>
          <w:sz w:val="24"/>
        </w:rPr>
        <w:t>výkladu unijního práva. Účelem je, aby SDEU vedl vnitrostátní soud při řešení soudního sporu. Žádosti</w:t>
      </w:r>
      <w:r w:rsidR="00460264" w:rsidRPr="00862391">
        <w:rPr>
          <w:rStyle w:val="y2iqfc"/>
          <w:rFonts w:ascii="Times New Roman" w:hAnsi="Times New Roman"/>
          <w:color w:val="384575"/>
          <w:sz w:val="24"/>
        </w:rPr>
        <w:t xml:space="preserve"> o </w:t>
      </w:r>
      <w:r w:rsidRPr="00862391">
        <w:rPr>
          <w:rStyle w:val="y2iqfc"/>
          <w:rFonts w:ascii="Times New Roman" w:hAnsi="Times New Roman"/>
          <w:color w:val="384575"/>
          <w:sz w:val="24"/>
        </w:rPr>
        <w:t>rozhodnutí</w:t>
      </w:r>
      <w:r w:rsidR="00460264" w:rsidRPr="00862391">
        <w:rPr>
          <w:rStyle w:val="y2iqfc"/>
          <w:rFonts w:ascii="Times New Roman" w:hAnsi="Times New Roman"/>
          <w:color w:val="384575"/>
          <w:sz w:val="24"/>
        </w:rPr>
        <w:t xml:space="preserve"> o </w:t>
      </w:r>
      <w:r w:rsidRPr="00862391">
        <w:rPr>
          <w:rStyle w:val="y2iqfc"/>
          <w:rFonts w:ascii="Times New Roman" w:hAnsi="Times New Roman"/>
          <w:color w:val="384575"/>
          <w:sz w:val="24"/>
        </w:rPr>
        <w:t>předběžné otázce se předkládají</w:t>
      </w:r>
      <w:r w:rsidR="00460264" w:rsidRPr="00862391">
        <w:rPr>
          <w:rStyle w:val="y2iqfc"/>
          <w:rFonts w:ascii="Times New Roman" w:hAnsi="Times New Roman"/>
          <w:color w:val="384575"/>
          <w:sz w:val="24"/>
        </w:rPr>
        <w:t xml:space="preserve"> v </w:t>
      </w:r>
      <w:r w:rsidRPr="00862391">
        <w:rPr>
          <w:rStyle w:val="y2iqfc"/>
          <w:rFonts w:ascii="Times New Roman" w:hAnsi="Times New Roman"/>
          <w:color w:val="384575"/>
          <w:sz w:val="24"/>
        </w:rPr>
        <w:t>případě, že se na soudní spor vedený před soudem členského státu vztahuje ustanovení unijního právního systému. Rozhodnutí</w:t>
      </w:r>
      <w:r w:rsidR="00460264" w:rsidRPr="00862391">
        <w:rPr>
          <w:rStyle w:val="y2iqfc"/>
          <w:rFonts w:ascii="Times New Roman" w:hAnsi="Times New Roman"/>
          <w:color w:val="384575"/>
          <w:sz w:val="24"/>
        </w:rPr>
        <w:t xml:space="preserve"> o </w:t>
      </w:r>
      <w:r w:rsidRPr="00862391">
        <w:rPr>
          <w:rStyle w:val="y2iqfc"/>
          <w:rFonts w:ascii="Times New Roman" w:hAnsi="Times New Roman"/>
          <w:color w:val="384575"/>
          <w:sz w:val="24"/>
        </w:rPr>
        <w:t>předběžné otázce je totiž</w:t>
      </w:r>
      <w:r w:rsidR="00460264" w:rsidRPr="00862391">
        <w:rPr>
          <w:rStyle w:val="y2iqfc"/>
          <w:rFonts w:ascii="Times New Roman" w:hAnsi="Times New Roman"/>
          <w:color w:val="384575"/>
          <w:sz w:val="24"/>
        </w:rPr>
        <w:t xml:space="preserve"> v </w:t>
      </w:r>
      <w:r w:rsidRPr="00862391">
        <w:rPr>
          <w:rStyle w:val="y2iqfc"/>
          <w:rFonts w:ascii="Times New Roman" w:hAnsi="Times New Roman"/>
          <w:color w:val="384575"/>
          <w:sz w:val="24"/>
        </w:rPr>
        <w:t>konečném důsledku procesním úkonem</w:t>
      </w:r>
      <w:r w:rsidR="00460264" w:rsidRPr="00862391">
        <w:rPr>
          <w:rStyle w:val="y2iqfc"/>
          <w:rFonts w:ascii="Times New Roman" w:hAnsi="Times New Roman"/>
          <w:color w:val="384575"/>
          <w:sz w:val="24"/>
        </w:rPr>
        <w:t xml:space="preserve"> v </w:t>
      </w:r>
      <w:r w:rsidRPr="00862391">
        <w:rPr>
          <w:rStyle w:val="y2iqfc"/>
          <w:rFonts w:ascii="Times New Roman" w:hAnsi="Times New Roman"/>
          <w:color w:val="384575"/>
          <w:sz w:val="24"/>
        </w:rPr>
        <w:t>rámci původního řízení vedeného</w:t>
      </w:r>
      <w:r w:rsidR="00460264" w:rsidRPr="00862391">
        <w:rPr>
          <w:rStyle w:val="y2iqfc"/>
          <w:rFonts w:ascii="Times New Roman" w:hAnsi="Times New Roman"/>
          <w:color w:val="384575"/>
          <w:sz w:val="24"/>
        </w:rPr>
        <w:t xml:space="preserve"> v </w:t>
      </w:r>
      <w:r w:rsidRPr="00862391">
        <w:rPr>
          <w:rStyle w:val="y2iqfc"/>
          <w:rFonts w:ascii="Times New Roman" w:hAnsi="Times New Roman"/>
          <w:color w:val="384575"/>
          <w:sz w:val="24"/>
        </w:rPr>
        <w:t xml:space="preserve">členském státě. </w:t>
      </w:r>
    </w:p>
    <w:p w14:paraId="41AEDE47" w14:textId="77777777" w:rsidR="008F1F7C" w:rsidRPr="00862391" w:rsidRDefault="008F1F7C" w:rsidP="00F37B27">
      <w:pPr>
        <w:spacing w:after="120" w:line="276" w:lineRule="auto"/>
        <w:jc w:val="both"/>
        <w:rPr>
          <w:rFonts w:cstheme="minorHAnsi"/>
          <w:color w:val="384575"/>
        </w:rPr>
      </w:pPr>
      <w:r w:rsidRPr="00862391">
        <w:rPr>
          <w:color w:val="384575"/>
        </w:rPr>
        <w:lastRenderedPageBreak/>
        <w:t>SDEU může rozhodovat</w:t>
      </w:r>
      <w:r w:rsidR="00460264" w:rsidRPr="00862391">
        <w:rPr>
          <w:color w:val="384575"/>
        </w:rPr>
        <w:t xml:space="preserve"> o </w:t>
      </w:r>
      <w:r w:rsidRPr="00862391">
        <w:rPr>
          <w:color w:val="384575"/>
        </w:rPr>
        <w:t>dvou typech předběžných otázek. Zaprvé, pokud jde</w:t>
      </w:r>
      <w:r w:rsidR="00460264" w:rsidRPr="00862391">
        <w:rPr>
          <w:color w:val="384575"/>
        </w:rPr>
        <w:t xml:space="preserve"> o </w:t>
      </w:r>
      <w:r w:rsidRPr="00862391">
        <w:rPr>
          <w:color w:val="384575"/>
        </w:rPr>
        <w:t>výklad smyslu nebo rozsahu použití ustanovení unijního práva.</w:t>
      </w:r>
      <w:r w:rsidR="00460264" w:rsidRPr="00862391">
        <w:rPr>
          <w:color w:val="384575"/>
        </w:rPr>
        <w:t xml:space="preserve"> A </w:t>
      </w:r>
      <w:r w:rsidRPr="00862391">
        <w:rPr>
          <w:color w:val="384575"/>
        </w:rPr>
        <w:t>zadruhé,</w:t>
      </w:r>
      <w:r w:rsidR="00460264" w:rsidRPr="00862391">
        <w:rPr>
          <w:color w:val="384575"/>
        </w:rPr>
        <w:t xml:space="preserve"> o </w:t>
      </w:r>
      <w:r w:rsidRPr="00862391">
        <w:rPr>
          <w:color w:val="384575"/>
        </w:rPr>
        <w:t xml:space="preserve">platnosti regulačního unijního právního předpisu, který má být uplatněn vnitrostátním soudem. </w:t>
      </w:r>
    </w:p>
    <w:p w14:paraId="6C921A57" w14:textId="77777777" w:rsidR="008F1F7C" w:rsidRPr="00862391" w:rsidRDefault="008F1F7C" w:rsidP="00F37B27">
      <w:pPr>
        <w:spacing w:after="120" w:line="276" w:lineRule="auto"/>
        <w:jc w:val="both"/>
        <w:rPr>
          <w:rFonts w:cstheme="minorHAnsi"/>
          <w:color w:val="384575"/>
        </w:rPr>
      </w:pPr>
      <w:r w:rsidRPr="00862391">
        <w:rPr>
          <w:color w:val="384575"/>
        </w:rPr>
        <w:t>V rámci mechanismu spolupráce mezi vnitrostátními soudy</w:t>
      </w:r>
      <w:r w:rsidR="00460264" w:rsidRPr="00862391">
        <w:rPr>
          <w:color w:val="384575"/>
        </w:rPr>
        <w:t xml:space="preserve"> a </w:t>
      </w:r>
      <w:r w:rsidRPr="00862391">
        <w:rPr>
          <w:color w:val="384575"/>
        </w:rPr>
        <w:t>SDEU jsou jedinými orgány oprávněnými</w:t>
      </w:r>
      <w:r w:rsidR="00460264" w:rsidRPr="00862391">
        <w:rPr>
          <w:color w:val="384575"/>
        </w:rPr>
        <w:t xml:space="preserve"> k </w:t>
      </w:r>
      <w:r w:rsidRPr="00862391">
        <w:rPr>
          <w:color w:val="384575"/>
        </w:rPr>
        <w:t>podání žádosti</w:t>
      </w:r>
      <w:r w:rsidR="00460264" w:rsidRPr="00862391">
        <w:rPr>
          <w:color w:val="384575"/>
        </w:rPr>
        <w:t xml:space="preserve"> o </w:t>
      </w:r>
      <w:r w:rsidRPr="00862391">
        <w:rPr>
          <w:color w:val="384575"/>
        </w:rPr>
        <w:t>rozhodnutí</w:t>
      </w:r>
      <w:r w:rsidR="00460264" w:rsidRPr="00862391">
        <w:rPr>
          <w:color w:val="384575"/>
        </w:rPr>
        <w:t xml:space="preserve"> o </w:t>
      </w:r>
      <w:r w:rsidRPr="00862391">
        <w:rPr>
          <w:color w:val="384575"/>
        </w:rPr>
        <w:t>předběžné otázce vnitrostátní soudy. Rozdíly mezi soudními systémy členských států vedly SDEU</w:t>
      </w:r>
      <w:r w:rsidR="00460264" w:rsidRPr="00862391">
        <w:rPr>
          <w:color w:val="384575"/>
        </w:rPr>
        <w:t xml:space="preserve"> k </w:t>
      </w:r>
      <w:r w:rsidRPr="00862391">
        <w:rPr>
          <w:color w:val="384575"/>
        </w:rPr>
        <w:t>tomu, aby stanovil znaky, které musí soud splňovat, aby mohl předložit žádost</w:t>
      </w:r>
      <w:r w:rsidR="00460264" w:rsidRPr="00862391">
        <w:rPr>
          <w:color w:val="384575"/>
        </w:rPr>
        <w:t xml:space="preserve"> o </w:t>
      </w:r>
      <w:r w:rsidRPr="00862391">
        <w:rPr>
          <w:color w:val="384575"/>
        </w:rPr>
        <w:t>rozhodnutí</w:t>
      </w:r>
      <w:r w:rsidR="00460264" w:rsidRPr="00862391">
        <w:rPr>
          <w:color w:val="384575"/>
        </w:rPr>
        <w:t xml:space="preserve"> o </w:t>
      </w:r>
      <w:r w:rsidRPr="00862391">
        <w:rPr>
          <w:color w:val="384575"/>
        </w:rPr>
        <w:t>předběžné otázce. SDEU</w:t>
      </w:r>
      <w:r w:rsidR="00460264" w:rsidRPr="00862391">
        <w:rPr>
          <w:color w:val="384575"/>
        </w:rPr>
        <w:t xml:space="preserve"> z </w:t>
      </w:r>
      <w:r w:rsidRPr="00862391">
        <w:rPr>
          <w:color w:val="384575"/>
        </w:rPr>
        <w:t>tohoto hlediska zavádí velmi široký právní pojem pro určení jeho způsobilosti.</w:t>
      </w:r>
      <w:r w:rsidR="00460264" w:rsidRPr="00862391">
        <w:rPr>
          <w:color w:val="384575"/>
        </w:rPr>
        <w:t xml:space="preserve"> V </w:t>
      </w:r>
      <w:r w:rsidRPr="00862391">
        <w:rPr>
          <w:color w:val="384575"/>
        </w:rPr>
        <w:t>souladu</w:t>
      </w:r>
      <w:r w:rsidR="00460264" w:rsidRPr="00862391">
        <w:rPr>
          <w:color w:val="384575"/>
        </w:rPr>
        <w:t xml:space="preserve"> s </w:t>
      </w:r>
      <w:r w:rsidRPr="00862391">
        <w:rPr>
          <w:color w:val="384575"/>
        </w:rPr>
        <w:t>tím je způsobilý každý orgán, který splňuje tyto znaky: zákonný původ, stálý orgán, obligatorní jurisdikce, vedení kontradiktorního řízení, rozhodnutí založená na zákoně</w:t>
      </w:r>
      <w:r w:rsidR="00460264" w:rsidRPr="00862391">
        <w:rPr>
          <w:color w:val="384575"/>
        </w:rPr>
        <w:t xml:space="preserve"> a </w:t>
      </w:r>
      <w:r w:rsidRPr="00862391">
        <w:rPr>
          <w:color w:val="384575"/>
        </w:rPr>
        <w:t xml:space="preserve">nezávislost. </w:t>
      </w:r>
    </w:p>
    <w:p w14:paraId="3C095F8F" w14:textId="77777777" w:rsidR="00BC7D61" w:rsidRPr="007D56D6" w:rsidRDefault="00BC7D61" w:rsidP="008F1F7C">
      <w:pPr>
        <w:spacing w:line="276" w:lineRule="auto"/>
        <w:jc w:val="both"/>
        <w:rPr>
          <w:rFonts w:cstheme="minorHAnsi"/>
        </w:rPr>
      </w:pPr>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E2F3" w:themeFill="accent1" w:themeFillTint="33"/>
        <w:tblLook w:val="04A0" w:firstRow="1" w:lastRow="0" w:firstColumn="1" w:lastColumn="0" w:noHBand="0" w:noVBand="1"/>
      </w:tblPr>
      <w:tblGrid>
        <w:gridCol w:w="8613"/>
      </w:tblGrid>
      <w:tr w:rsidR="001B4D42" w:rsidRPr="00410A93" w14:paraId="632C3767" w14:textId="77777777" w:rsidTr="009A148F">
        <w:tc>
          <w:tcPr>
            <w:tcW w:w="8613" w:type="dxa"/>
            <w:shd w:val="clear" w:color="auto" w:fill="D9E2F3" w:themeFill="accent1" w:themeFillTint="33"/>
          </w:tcPr>
          <w:p w14:paraId="4EA3D6C7" w14:textId="525F3CA2" w:rsidR="00410A93" w:rsidRPr="004A01CA" w:rsidRDefault="002D298A" w:rsidP="00410A93">
            <w:pPr>
              <w:jc w:val="right"/>
              <w:rPr>
                <w:rStyle w:val="y2iqfc"/>
                <w:rFonts w:asciiTheme="minorHAnsi" w:hAnsiTheme="minorHAnsi" w:cstheme="minorHAnsi"/>
                <w:b/>
                <w:color w:val="000000" w:themeColor="text1"/>
                <w:sz w:val="20"/>
                <w:szCs w:val="20"/>
              </w:rPr>
            </w:pPr>
            <w:hyperlink r:id="rId35" w:history="1">
              <w:r w:rsidR="00D460A6" w:rsidRPr="004A01CA">
                <w:rPr>
                  <w:rStyle w:val="Hypertextovodkaz"/>
                  <w:rFonts w:asciiTheme="minorHAnsi" w:hAnsiTheme="minorHAnsi" w:cstheme="minorHAnsi"/>
                  <w:b/>
                  <w:color w:val="000000" w:themeColor="text1"/>
                  <w:sz w:val="20"/>
                </w:rPr>
                <w:t>CJEU Rozsudek Soudního dvora ze dn</w:t>
              </w:r>
              <w:r w:rsidR="00D460A6" w:rsidRPr="00204752">
                <w:rPr>
                  <w:rStyle w:val="Hypertextovodkaz"/>
                  <w:rFonts w:asciiTheme="minorHAnsi" w:hAnsiTheme="minorHAnsi" w:cstheme="minorHAnsi"/>
                  <w:b/>
                  <w:color w:val="000000" w:themeColor="text1"/>
                  <w:sz w:val="20"/>
                </w:rPr>
                <w:t xml:space="preserve">e 6. října 2015, </w:t>
              </w:r>
              <w:proofErr w:type="spellStart"/>
              <w:r w:rsidR="00D460A6" w:rsidRPr="00204752">
                <w:rPr>
                  <w:rStyle w:val="Hypertextovodkaz"/>
                  <w:rFonts w:asciiTheme="minorHAnsi" w:hAnsiTheme="minorHAnsi" w:cstheme="minorHAnsi"/>
                  <w:b/>
                  <w:i/>
                  <w:iCs/>
                  <w:color w:val="000000" w:themeColor="text1"/>
                </w:rPr>
                <w:t>Consorci</w:t>
              </w:r>
              <w:proofErr w:type="spellEnd"/>
              <w:r w:rsidR="00D460A6" w:rsidRPr="00204752">
                <w:rPr>
                  <w:rStyle w:val="Hypertextovodkaz"/>
                  <w:rFonts w:asciiTheme="minorHAnsi" w:hAnsiTheme="minorHAnsi" w:cstheme="minorHAnsi"/>
                  <w:b/>
                  <w:i/>
                  <w:iCs/>
                  <w:color w:val="000000" w:themeColor="text1"/>
                </w:rPr>
                <w:t xml:space="preserve"> </w:t>
              </w:r>
              <w:proofErr w:type="spellStart"/>
              <w:r w:rsidR="00D460A6" w:rsidRPr="00204752">
                <w:rPr>
                  <w:rStyle w:val="Hypertextovodkaz"/>
                  <w:rFonts w:asciiTheme="minorHAnsi" w:hAnsiTheme="minorHAnsi" w:cstheme="minorHAnsi"/>
                  <w:b/>
                  <w:i/>
                  <w:iCs/>
                  <w:color w:val="000000" w:themeColor="text1"/>
                </w:rPr>
                <w:t>Sanitari</w:t>
              </w:r>
              <w:proofErr w:type="spellEnd"/>
              <w:r w:rsidR="00D460A6" w:rsidRPr="00204752">
                <w:rPr>
                  <w:rStyle w:val="Hypertextovodkaz"/>
                  <w:rFonts w:asciiTheme="minorHAnsi" w:hAnsiTheme="minorHAnsi" w:cstheme="minorHAnsi"/>
                  <w:b/>
                  <w:i/>
                  <w:iCs/>
                  <w:color w:val="000000" w:themeColor="text1"/>
                </w:rPr>
                <w:t xml:space="preserve"> </w:t>
              </w:r>
              <w:proofErr w:type="spellStart"/>
              <w:r w:rsidR="00D460A6" w:rsidRPr="00204752">
                <w:rPr>
                  <w:rStyle w:val="Hypertextovodkaz"/>
                  <w:rFonts w:asciiTheme="minorHAnsi" w:hAnsiTheme="minorHAnsi" w:cstheme="minorHAnsi"/>
                  <w:b/>
                  <w:i/>
                  <w:iCs/>
                  <w:color w:val="000000" w:themeColor="text1"/>
                </w:rPr>
                <w:t>del</w:t>
              </w:r>
              <w:proofErr w:type="spellEnd"/>
              <w:r w:rsidR="00D460A6" w:rsidRPr="00204752">
                <w:rPr>
                  <w:rStyle w:val="Hypertextovodkaz"/>
                  <w:rFonts w:asciiTheme="minorHAnsi" w:hAnsiTheme="minorHAnsi" w:cstheme="minorHAnsi"/>
                  <w:b/>
                  <w:i/>
                  <w:iCs/>
                  <w:color w:val="000000" w:themeColor="text1"/>
                </w:rPr>
                <w:t xml:space="preserve"> </w:t>
              </w:r>
              <w:proofErr w:type="spellStart"/>
              <w:r w:rsidR="00D460A6" w:rsidRPr="00204752">
                <w:rPr>
                  <w:rStyle w:val="Hypertextovodkaz"/>
                  <w:rFonts w:asciiTheme="minorHAnsi" w:hAnsiTheme="minorHAnsi" w:cstheme="minorHAnsi"/>
                  <w:b/>
                  <w:i/>
                  <w:iCs/>
                  <w:color w:val="000000" w:themeColor="text1"/>
                </w:rPr>
                <w:t>Maresme</w:t>
              </w:r>
              <w:proofErr w:type="spellEnd"/>
              <w:r w:rsidR="00D460A6" w:rsidRPr="00204752">
                <w:rPr>
                  <w:rStyle w:val="Hypertextovodkaz"/>
                  <w:rFonts w:asciiTheme="minorHAnsi" w:hAnsiTheme="minorHAnsi" w:cstheme="minorHAnsi"/>
                  <w:b/>
                  <w:i/>
                  <w:iCs/>
                  <w:color w:val="000000" w:themeColor="text1"/>
                </w:rPr>
                <w:t xml:space="preserve"> v. </w:t>
              </w:r>
              <w:proofErr w:type="spellStart"/>
              <w:r w:rsidR="00D460A6" w:rsidRPr="00204752">
                <w:rPr>
                  <w:rStyle w:val="Hypertextovodkaz"/>
                  <w:rFonts w:asciiTheme="minorHAnsi" w:hAnsiTheme="minorHAnsi" w:cstheme="minorHAnsi"/>
                  <w:b/>
                  <w:i/>
                  <w:iCs/>
                  <w:color w:val="000000" w:themeColor="text1"/>
                </w:rPr>
                <w:t>Corporacio</w:t>
              </w:r>
              <w:proofErr w:type="spellEnd"/>
              <w:r w:rsidR="00D460A6" w:rsidRPr="00204752">
                <w:rPr>
                  <w:rStyle w:val="Hypertextovodkaz"/>
                  <w:rFonts w:asciiTheme="minorHAnsi" w:hAnsiTheme="minorHAnsi" w:cstheme="minorHAnsi"/>
                  <w:b/>
                  <w:i/>
                  <w:iCs/>
                  <w:color w:val="000000" w:themeColor="text1"/>
                </w:rPr>
                <w:t xml:space="preserve">́ de Salut </w:t>
              </w:r>
              <w:proofErr w:type="spellStart"/>
              <w:r w:rsidR="00D460A6" w:rsidRPr="00204752">
                <w:rPr>
                  <w:rStyle w:val="Hypertextovodkaz"/>
                  <w:rFonts w:asciiTheme="minorHAnsi" w:hAnsiTheme="minorHAnsi" w:cstheme="minorHAnsi"/>
                  <w:b/>
                  <w:i/>
                  <w:iCs/>
                  <w:color w:val="000000" w:themeColor="text1"/>
                </w:rPr>
                <w:t>del</w:t>
              </w:r>
              <w:proofErr w:type="spellEnd"/>
              <w:r w:rsidR="00D460A6" w:rsidRPr="00204752">
                <w:rPr>
                  <w:rStyle w:val="Hypertextovodkaz"/>
                  <w:rFonts w:asciiTheme="minorHAnsi" w:hAnsiTheme="minorHAnsi" w:cstheme="minorHAnsi"/>
                  <w:b/>
                  <w:i/>
                  <w:iCs/>
                  <w:color w:val="000000" w:themeColor="text1"/>
                </w:rPr>
                <w:t xml:space="preserve"> </w:t>
              </w:r>
              <w:proofErr w:type="spellStart"/>
              <w:r w:rsidR="00D460A6" w:rsidRPr="00204752">
                <w:rPr>
                  <w:rStyle w:val="Hypertextovodkaz"/>
                  <w:rFonts w:asciiTheme="minorHAnsi" w:hAnsiTheme="minorHAnsi" w:cstheme="minorHAnsi"/>
                  <w:b/>
                  <w:i/>
                  <w:iCs/>
                  <w:color w:val="000000" w:themeColor="text1"/>
                </w:rPr>
                <w:t>Maresme</w:t>
              </w:r>
              <w:proofErr w:type="spellEnd"/>
              <w:r w:rsidR="00460264" w:rsidRPr="00204752">
                <w:rPr>
                  <w:rStyle w:val="Hypertextovodkaz"/>
                  <w:rFonts w:asciiTheme="minorHAnsi" w:hAnsiTheme="minorHAnsi" w:cstheme="minorHAnsi"/>
                  <w:b/>
                  <w:i/>
                  <w:iCs/>
                  <w:color w:val="000000" w:themeColor="text1"/>
                </w:rPr>
                <w:t xml:space="preserve"> i </w:t>
              </w:r>
              <w:r w:rsidR="00D460A6" w:rsidRPr="00204752">
                <w:rPr>
                  <w:rStyle w:val="Hypertextovodkaz"/>
                  <w:rFonts w:asciiTheme="minorHAnsi" w:hAnsiTheme="minorHAnsi" w:cstheme="minorHAnsi"/>
                  <w:b/>
                  <w:i/>
                  <w:iCs/>
                  <w:color w:val="000000" w:themeColor="text1"/>
                </w:rPr>
                <w:t xml:space="preserve">la </w:t>
              </w:r>
              <w:proofErr w:type="spellStart"/>
              <w:r w:rsidR="00D460A6" w:rsidRPr="00204752">
                <w:rPr>
                  <w:rStyle w:val="Hypertextovodkaz"/>
                  <w:rFonts w:asciiTheme="minorHAnsi" w:hAnsiTheme="minorHAnsi" w:cstheme="minorHAnsi"/>
                  <w:b/>
                  <w:i/>
                  <w:iCs/>
                  <w:color w:val="000000" w:themeColor="text1"/>
                </w:rPr>
                <w:t>Selva</w:t>
              </w:r>
              <w:proofErr w:type="spellEnd"/>
              <w:r w:rsidR="00D460A6" w:rsidRPr="00204752">
                <w:rPr>
                  <w:rStyle w:val="Hypertextovodkaz"/>
                  <w:rFonts w:asciiTheme="minorHAnsi" w:hAnsiTheme="minorHAnsi" w:cstheme="minorHAnsi"/>
                  <w:b/>
                  <w:color w:val="000000" w:themeColor="text1"/>
                </w:rPr>
                <w:t xml:space="preserve">, </w:t>
              </w:r>
              <w:r w:rsidR="00D460A6" w:rsidRPr="00204752">
                <w:rPr>
                  <w:rStyle w:val="Hypertextovodkaz"/>
                  <w:rFonts w:asciiTheme="minorHAnsi" w:hAnsiTheme="minorHAnsi" w:cstheme="minorHAnsi"/>
                  <w:b/>
                  <w:color w:val="000000" w:themeColor="text1"/>
                  <w:sz w:val="20"/>
                </w:rPr>
                <w:t>C-203/14, ECLI:EU:C:2015:664</w:t>
              </w:r>
            </w:hyperlink>
          </w:p>
          <w:p w14:paraId="7E73645C" w14:textId="77777777" w:rsidR="00ED6B1D" w:rsidRPr="007D56D6" w:rsidRDefault="00ED6B1D" w:rsidP="00410A93">
            <w:pPr>
              <w:jc w:val="right"/>
              <w:rPr>
                <w:rFonts w:asciiTheme="minorHAnsi" w:hAnsiTheme="minorHAnsi" w:cstheme="minorHAnsi"/>
                <w:b/>
                <w:sz w:val="20"/>
                <w:szCs w:val="20"/>
                <w:lang w:val="fr-FR"/>
              </w:rPr>
            </w:pPr>
          </w:p>
          <w:p w14:paraId="2BDE15FC" w14:textId="77777777" w:rsidR="00410A93" w:rsidRDefault="00BC7D61" w:rsidP="00BC7D61">
            <w:pPr>
              <w:jc w:val="both"/>
              <w:rPr>
                <w:rFonts w:asciiTheme="minorHAnsi" w:hAnsiTheme="minorHAnsi" w:cstheme="minorHAnsi"/>
                <w:sz w:val="20"/>
                <w:szCs w:val="20"/>
              </w:rPr>
            </w:pPr>
            <w:r>
              <w:rPr>
                <w:rFonts w:asciiTheme="minorHAnsi" w:hAnsiTheme="minorHAnsi"/>
                <w:sz w:val="20"/>
              </w:rPr>
              <w:t>Věc je založena na žádosti</w:t>
            </w:r>
            <w:r w:rsidR="00460264">
              <w:rPr>
                <w:rFonts w:asciiTheme="minorHAnsi" w:hAnsiTheme="minorHAnsi"/>
                <w:sz w:val="20"/>
              </w:rPr>
              <w:t xml:space="preserve"> o </w:t>
            </w:r>
            <w:r>
              <w:rPr>
                <w:rFonts w:asciiTheme="minorHAnsi" w:hAnsiTheme="minorHAnsi"/>
                <w:sz w:val="20"/>
              </w:rPr>
              <w:t>rozhodnutí</w:t>
            </w:r>
            <w:r w:rsidR="00460264">
              <w:rPr>
                <w:rFonts w:asciiTheme="minorHAnsi" w:hAnsiTheme="minorHAnsi"/>
                <w:sz w:val="20"/>
              </w:rPr>
              <w:t xml:space="preserve"> o </w:t>
            </w:r>
            <w:r>
              <w:rPr>
                <w:rFonts w:asciiTheme="minorHAnsi" w:hAnsiTheme="minorHAnsi"/>
                <w:sz w:val="20"/>
              </w:rPr>
              <w:t>předběžné otázce, kterou podal katalánský soud pro zakázky ve veřejném sektoru (Španělsko)</w:t>
            </w:r>
            <w:r w:rsidR="00460264">
              <w:rPr>
                <w:rFonts w:asciiTheme="minorHAnsi" w:hAnsiTheme="minorHAnsi"/>
                <w:sz w:val="20"/>
              </w:rPr>
              <w:t xml:space="preserve"> v </w:t>
            </w:r>
            <w:r>
              <w:rPr>
                <w:rFonts w:asciiTheme="minorHAnsi" w:hAnsiTheme="minorHAnsi"/>
                <w:sz w:val="20"/>
              </w:rPr>
              <w:t>rámci zvláštního správního opravného prostředku týkajícího se veřejných zakázek.</w:t>
            </w:r>
            <w:r w:rsidR="00460264">
              <w:rPr>
                <w:rFonts w:asciiTheme="minorHAnsi" w:hAnsiTheme="minorHAnsi"/>
                <w:sz w:val="20"/>
              </w:rPr>
              <w:t xml:space="preserve"> V </w:t>
            </w:r>
            <w:r>
              <w:rPr>
                <w:rFonts w:asciiTheme="minorHAnsi" w:hAnsiTheme="minorHAnsi"/>
                <w:sz w:val="20"/>
              </w:rPr>
              <w:t>průběhu řízení před Soudním dvorem vznikly pochybnosti</w:t>
            </w:r>
            <w:r w:rsidR="00460264">
              <w:rPr>
                <w:rFonts w:asciiTheme="minorHAnsi" w:hAnsiTheme="minorHAnsi"/>
                <w:sz w:val="20"/>
              </w:rPr>
              <w:t xml:space="preserve"> o </w:t>
            </w:r>
            <w:r>
              <w:rPr>
                <w:rFonts w:asciiTheme="minorHAnsi" w:hAnsiTheme="minorHAnsi"/>
                <w:sz w:val="20"/>
              </w:rPr>
              <w:t>příslušnosti Soudního dvora</w:t>
            </w:r>
            <w:r w:rsidR="00460264">
              <w:rPr>
                <w:rFonts w:asciiTheme="minorHAnsi" w:hAnsiTheme="minorHAnsi"/>
                <w:sz w:val="20"/>
              </w:rPr>
              <w:t xml:space="preserve"> s </w:t>
            </w:r>
            <w:r>
              <w:rPr>
                <w:rFonts w:asciiTheme="minorHAnsi" w:hAnsiTheme="minorHAnsi"/>
                <w:sz w:val="20"/>
              </w:rPr>
              <w:t>ohledem na znaky katalánského soudu pro zakázky ve veřejném sektoru. Ten je ve skutečnosti specializovaným kolektivním správním orgánem příslušným</w:t>
            </w:r>
            <w:r w:rsidR="00460264">
              <w:rPr>
                <w:rFonts w:asciiTheme="minorHAnsi" w:hAnsiTheme="minorHAnsi"/>
                <w:sz w:val="20"/>
              </w:rPr>
              <w:t xml:space="preserve"> k </w:t>
            </w:r>
            <w:r>
              <w:rPr>
                <w:rFonts w:asciiTheme="minorHAnsi" w:hAnsiTheme="minorHAnsi"/>
                <w:sz w:val="20"/>
              </w:rPr>
              <w:t>projednávání zvláštních opravných prostředků týkajících se veřejných zakázek. Jelikož se jedná</w:t>
            </w:r>
            <w:r w:rsidR="00460264">
              <w:rPr>
                <w:rFonts w:asciiTheme="minorHAnsi" w:hAnsiTheme="minorHAnsi"/>
                <w:sz w:val="20"/>
              </w:rPr>
              <w:t xml:space="preserve"> o </w:t>
            </w:r>
            <w:r>
              <w:rPr>
                <w:rFonts w:asciiTheme="minorHAnsi" w:hAnsiTheme="minorHAnsi"/>
                <w:sz w:val="20"/>
              </w:rPr>
              <w:t xml:space="preserve">specializovaný orgán, není podle vnitrostátního práva soudem </w:t>
            </w:r>
            <w:proofErr w:type="spellStart"/>
            <w:r>
              <w:rPr>
                <w:rFonts w:asciiTheme="minorHAnsi" w:hAnsiTheme="minorHAnsi"/>
                <w:i/>
                <w:iCs/>
                <w:sz w:val="20"/>
              </w:rPr>
              <w:t>stricto</w:t>
            </w:r>
            <w:proofErr w:type="spellEnd"/>
            <w:r>
              <w:rPr>
                <w:rFonts w:asciiTheme="minorHAnsi" w:hAnsiTheme="minorHAnsi"/>
                <w:i/>
                <w:iCs/>
                <w:sz w:val="20"/>
              </w:rPr>
              <w:t xml:space="preserve"> </w:t>
            </w:r>
            <w:proofErr w:type="spellStart"/>
            <w:r>
              <w:rPr>
                <w:rFonts w:asciiTheme="minorHAnsi" w:hAnsiTheme="minorHAnsi"/>
                <w:i/>
                <w:iCs/>
                <w:sz w:val="20"/>
              </w:rPr>
              <w:t>sensu</w:t>
            </w:r>
            <w:proofErr w:type="spellEnd"/>
            <w:r>
              <w:rPr>
                <w:rFonts w:asciiTheme="minorHAnsi" w:hAnsiTheme="minorHAnsi"/>
                <w:sz w:val="20"/>
              </w:rPr>
              <w:t>, ačkoli jeho rozhodnutí jsou konečná, pokud jde</w:t>
            </w:r>
            <w:r w:rsidR="00460264">
              <w:rPr>
                <w:rFonts w:asciiTheme="minorHAnsi" w:hAnsiTheme="minorHAnsi"/>
                <w:sz w:val="20"/>
              </w:rPr>
              <w:t xml:space="preserve"> o </w:t>
            </w:r>
            <w:r>
              <w:rPr>
                <w:rFonts w:asciiTheme="minorHAnsi" w:hAnsiTheme="minorHAnsi"/>
                <w:sz w:val="20"/>
              </w:rPr>
              <w:t>správní opravné prostředky. Podání opravného prostředku</w:t>
            </w:r>
            <w:r w:rsidR="00460264">
              <w:rPr>
                <w:rFonts w:asciiTheme="minorHAnsi" w:hAnsiTheme="minorHAnsi"/>
                <w:sz w:val="20"/>
              </w:rPr>
              <w:t xml:space="preserve"> k </w:t>
            </w:r>
            <w:r>
              <w:rPr>
                <w:rFonts w:asciiTheme="minorHAnsi" w:hAnsiTheme="minorHAnsi"/>
                <w:sz w:val="20"/>
              </w:rPr>
              <w:t>tomuto orgánu je nadto nepovinné, což vyvolává otázku, zda jej lze považovat za „soud členského státu“ ve smyslu článku 267 SFEU. Tato otázka vyžaduje, aby Soudní dvůr vyložil zejména svou složitou judikaturu týkající se „obligatorní jurisdikce“ předkládajícího orgánu.</w:t>
            </w:r>
          </w:p>
          <w:p w14:paraId="01FE2211" w14:textId="77777777" w:rsidR="00BC7D61" w:rsidRPr="007D56D6" w:rsidRDefault="00BC7D61" w:rsidP="00410A93">
            <w:pPr>
              <w:jc w:val="both"/>
              <w:rPr>
                <w:rFonts w:asciiTheme="minorHAnsi" w:hAnsiTheme="minorHAnsi" w:cstheme="minorHAnsi"/>
                <w:sz w:val="20"/>
                <w:szCs w:val="20"/>
              </w:rPr>
            </w:pPr>
          </w:p>
          <w:p w14:paraId="0D6D9E86" w14:textId="77777777" w:rsidR="002667C3" w:rsidRPr="009A148F" w:rsidRDefault="002667C3" w:rsidP="00410A93">
            <w:pPr>
              <w:jc w:val="both"/>
              <w:rPr>
                <w:rFonts w:asciiTheme="minorHAnsi" w:hAnsiTheme="minorHAnsi" w:cstheme="minorHAnsi"/>
                <w:i/>
                <w:sz w:val="20"/>
              </w:rPr>
            </w:pPr>
            <w:r w:rsidRPr="009A148F">
              <w:rPr>
                <w:rFonts w:asciiTheme="minorHAnsi" w:hAnsiTheme="minorHAnsi" w:cstheme="minorHAnsi"/>
                <w:sz w:val="20"/>
              </w:rPr>
              <w:t>„</w:t>
            </w:r>
            <w:r w:rsidRPr="009A148F">
              <w:rPr>
                <w:rFonts w:asciiTheme="minorHAnsi" w:hAnsiTheme="minorHAnsi" w:cstheme="minorHAnsi"/>
                <w:i/>
                <w:sz w:val="20"/>
              </w:rPr>
              <w:t>18. Co se předně týče kritérií, podle nichž musí být předkládající orgán zřízen zákonem, musí se jednat</w:t>
            </w:r>
            <w:r w:rsidR="00460264">
              <w:rPr>
                <w:rFonts w:asciiTheme="minorHAnsi" w:hAnsiTheme="minorHAnsi" w:cstheme="minorHAnsi"/>
                <w:i/>
                <w:sz w:val="20"/>
              </w:rPr>
              <w:t xml:space="preserve"> </w:t>
            </w:r>
            <w:r w:rsidR="00460264" w:rsidRPr="009A148F">
              <w:rPr>
                <w:rFonts w:asciiTheme="minorHAnsi" w:hAnsiTheme="minorHAnsi" w:cstheme="minorHAnsi"/>
                <w:i/>
                <w:sz w:val="20"/>
              </w:rPr>
              <w:t>o</w:t>
            </w:r>
            <w:r w:rsidR="00460264">
              <w:rPr>
                <w:rFonts w:asciiTheme="minorHAnsi" w:hAnsiTheme="minorHAnsi" w:cstheme="minorHAnsi"/>
                <w:i/>
                <w:sz w:val="20"/>
              </w:rPr>
              <w:t> </w:t>
            </w:r>
            <w:r w:rsidRPr="009A148F">
              <w:rPr>
                <w:rFonts w:asciiTheme="minorHAnsi" w:hAnsiTheme="minorHAnsi" w:cstheme="minorHAnsi"/>
                <w:i/>
                <w:sz w:val="20"/>
              </w:rPr>
              <w:t>stálý orgán, musí mít řízení před ním kontradiktorní povahu</w:t>
            </w:r>
            <w:r w:rsidR="00460264">
              <w:rPr>
                <w:rFonts w:asciiTheme="minorHAnsi" w:hAnsiTheme="minorHAnsi" w:cstheme="minorHAnsi"/>
                <w:i/>
                <w:sz w:val="20"/>
              </w:rPr>
              <w:t xml:space="preserve"> </w:t>
            </w:r>
            <w:r w:rsidR="00460264" w:rsidRPr="009A148F">
              <w:rPr>
                <w:rFonts w:asciiTheme="minorHAnsi" w:hAnsiTheme="minorHAnsi" w:cstheme="minorHAnsi"/>
                <w:i/>
                <w:sz w:val="20"/>
              </w:rPr>
              <w:t>a</w:t>
            </w:r>
            <w:r w:rsidR="00460264">
              <w:rPr>
                <w:rFonts w:asciiTheme="minorHAnsi" w:hAnsiTheme="minorHAnsi" w:cstheme="minorHAnsi"/>
                <w:i/>
                <w:sz w:val="20"/>
              </w:rPr>
              <w:t> </w:t>
            </w:r>
            <w:r w:rsidRPr="009A148F">
              <w:rPr>
                <w:rFonts w:asciiTheme="minorHAnsi" w:hAnsiTheme="minorHAnsi" w:cstheme="minorHAnsi"/>
                <w:i/>
                <w:sz w:val="20"/>
              </w:rPr>
              <w:t xml:space="preserve">musí aplikovat právní předpisy […] </w:t>
            </w:r>
          </w:p>
          <w:p w14:paraId="416744F0" w14:textId="77777777" w:rsidR="009A148F" w:rsidRPr="009A148F" w:rsidRDefault="009A148F" w:rsidP="00410A93">
            <w:pPr>
              <w:jc w:val="both"/>
              <w:rPr>
                <w:rFonts w:asciiTheme="minorHAnsi" w:hAnsiTheme="minorHAnsi" w:cstheme="minorHAnsi"/>
                <w:i/>
                <w:sz w:val="20"/>
                <w:szCs w:val="20"/>
              </w:rPr>
            </w:pPr>
          </w:p>
          <w:p w14:paraId="31CC75E4" w14:textId="77777777" w:rsidR="002667C3" w:rsidRDefault="002667C3" w:rsidP="00410A93">
            <w:pPr>
              <w:jc w:val="both"/>
              <w:rPr>
                <w:rFonts w:asciiTheme="minorHAnsi" w:hAnsiTheme="minorHAnsi" w:cstheme="minorHAnsi"/>
                <w:i/>
                <w:sz w:val="20"/>
              </w:rPr>
            </w:pPr>
            <w:r w:rsidRPr="009A148F">
              <w:rPr>
                <w:rFonts w:asciiTheme="minorHAnsi" w:hAnsiTheme="minorHAnsi" w:cstheme="minorHAnsi"/>
                <w:i/>
                <w:sz w:val="20"/>
              </w:rPr>
              <w:t xml:space="preserve">19. Co se dále týče kritéria </w:t>
            </w:r>
            <w:proofErr w:type="gramStart"/>
            <w:r w:rsidRPr="009A148F">
              <w:rPr>
                <w:rFonts w:asciiTheme="minorHAnsi" w:hAnsiTheme="minorHAnsi" w:cstheme="minorHAnsi"/>
                <w:i/>
                <w:sz w:val="20"/>
              </w:rPr>
              <w:t>nezávislosti,[</w:t>
            </w:r>
            <w:proofErr w:type="gramEnd"/>
            <w:r w:rsidRPr="009A148F">
              <w:rPr>
                <w:rFonts w:asciiTheme="minorHAnsi" w:hAnsiTheme="minorHAnsi" w:cstheme="minorHAnsi"/>
                <w:i/>
                <w:sz w:val="20"/>
              </w:rPr>
              <w:t>…] má ve vztahu</w:t>
            </w:r>
            <w:r w:rsidR="00460264">
              <w:rPr>
                <w:rFonts w:asciiTheme="minorHAnsi" w:hAnsiTheme="minorHAnsi" w:cstheme="minorHAnsi"/>
                <w:i/>
                <w:sz w:val="20"/>
              </w:rPr>
              <w:t xml:space="preserve"> </w:t>
            </w:r>
            <w:r w:rsidR="00460264" w:rsidRPr="009A148F">
              <w:rPr>
                <w:rFonts w:asciiTheme="minorHAnsi" w:hAnsiTheme="minorHAnsi" w:cstheme="minorHAnsi"/>
                <w:i/>
                <w:sz w:val="20"/>
              </w:rPr>
              <w:t>k</w:t>
            </w:r>
            <w:r w:rsidR="00460264">
              <w:rPr>
                <w:rFonts w:asciiTheme="minorHAnsi" w:hAnsiTheme="minorHAnsi" w:cstheme="minorHAnsi"/>
                <w:i/>
                <w:sz w:val="20"/>
              </w:rPr>
              <w:t> </w:t>
            </w:r>
            <w:r w:rsidRPr="009A148F">
              <w:rPr>
                <w:rFonts w:asciiTheme="minorHAnsi" w:hAnsiTheme="minorHAnsi" w:cstheme="minorHAnsi"/>
                <w:i/>
                <w:sz w:val="20"/>
              </w:rPr>
              <w:t>orgánu, jenž vydal rozhodnutí, které je předmětem opravného prostředku</w:t>
            </w:r>
            <w:r w:rsidR="00460264">
              <w:rPr>
                <w:rFonts w:asciiTheme="minorHAnsi" w:hAnsiTheme="minorHAnsi" w:cstheme="minorHAnsi"/>
                <w:i/>
                <w:sz w:val="20"/>
              </w:rPr>
              <w:t xml:space="preserve"> </w:t>
            </w:r>
            <w:r w:rsidR="00460264" w:rsidRPr="009A148F">
              <w:rPr>
                <w:rFonts w:asciiTheme="minorHAnsi" w:hAnsiTheme="minorHAnsi" w:cstheme="minorHAnsi"/>
                <w:i/>
                <w:sz w:val="20"/>
              </w:rPr>
              <w:t>v</w:t>
            </w:r>
            <w:r w:rsidR="00460264">
              <w:rPr>
                <w:rFonts w:asciiTheme="minorHAnsi" w:hAnsiTheme="minorHAnsi" w:cstheme="minorHAnsi"/>
                <w:i/>
                <w:sz w:val="20"/>
              </w:rPr>
              <w:t> </w:t>
            </w:r>
            <w:r w:rsidRPr="009A148F">
              <w:rPr>
                <w:rFonts w:asciiTheme="minorHAnsi" w:hAnsiTheme="minorHAnsi" w:cstheme="minorHAnsi"/>
                <w:i/>
                <w:sz w:val="20"/>
              </w:rPr>
              <w:t xml:space="preserve">původním řízení, postavení třetí osoby (viz rozsudek </w:t>
            </w:r>
            <w:proofErr w:type="spellStart"/>
            <w:r w:rsidRPr="009A148F">
              <w:rPr>
                <w:rFonts w:asciiTheme="minorHAnsi" w:hAnsiTheme="minorHAnsi" w:cstheme="minorHAnsi"/>
                <w:i/>
                <w:sz w:val="20"/>
              </w:rPr>
              <w:t>Corbiau</w:t>
            </w:r>
            <w:proofErr w:type="spellEnd"/>
            <w:r w:rsidRPr="009A148F">
              <w:rPr>
                <w:rFonts w:asciiTheme="minorHAnsi" w:hAnsiTheme="minorHAnsi" w:cstheme="minorHAnsi"/>
                <w:i/>
                <w:sz w:val="20"/>
              </w:rPr>
              <w:t>, C</w:t>
            </w:r>
            <w:r w:rsidRPr="009A148F">
              <w:rPr>
                <w:rFonts w:cstheme="minorHAnsi"/>
                <w:i/>
                <w:sz w:val="20"/>
              </w:rPr>
              <w:t>‑</w:t>
            </w:r>
            <w:r w:rsidRPr="009A148F">
              <w:rPr>
                <w:rFonts w:asciiTheme="minorHAnsi" w:hAnsiTheme="minorHAnsi" w:cstheme="minorHAnsi"/>
                <w:i/>
                <w:sz w:val="20"/>
              </w:rPr>
              <w:t>24/92, EU:C:1993:118, bod 15,</w:t>
            </w:r>
            <w:r w:rsidR="00460264">
              <w:rPr>
                <w:rFonts w:asciiTheme="minorHAnsi" w:hAnsiTheme="minorHAnsi" w:cstheme="minorHAnsi"/>
                <w:i/>
                <w:sz w:val="20"/>
              </w:rPr>
              <w:t xml:space="preserve"> </w:t>
            </w:r>
            <w:r w:rsidR="00460264" w:rsidRPr="009A148F">
              <w:rPr>
                <w:rFonts w:asciiTheme="minorHAnsi" w:hAnsiTheme="minorHAnsi" w:cstheme="minorHAnsi"/>
                <w:i/>
                <w:sz w:val="20"/>
              </w:rPr>
              <w:t>a</w:t>
            </w:r>
            <w:r w:rsidR="00460264">
              <w:rPr>
                <w:rFonts w:asciiTheme="minorHAnsi" w:hAnsiTheme="minorHAnsi" w:cstheme="minorHAnsi"/>
                <w:i/>
                <w:sz w:val="20"/>
              </w:rPr>
              <w:t> </w:t>
            </w:r>
            <w:r w:rsidRPr="009A148F">
              <w:rPr>
                <w:rFonts w:asciiTheme="minorHAnsi" w:hAnsiTheme="minorHAnsi" w:cstheme="minorHAnsi"/>
                <w:i/>
                <w:sz w:val="20"/>
              </w:rPr>
              <w:t>rozsudek Wilson, C</w:t>
            </w:r>
            <w:r w:rsidRPr="009A148F">
              <w:rPr>
                <w:rFonts w:cstheme="minorHAnsi"/>
                <w:i/>
                <w:sz w:val="20"/>
              </w:rPr>
              <w:t>‑</w:t>
            </w:r>
            <w:r w:rsidRPr="009A148F">
              <w:rPr>
                <w:rFonts w:asciiTheme="minorHAnsi" w:hAnsiTheme="minorHAnsi" w:cstheme="minorHAnsi"/>
                <w:i/>
                <w:sz w:val="20"/>
              </w:rPr>
              <w:t>506/04, EU:C:2006:587, bod 49).</w:t>
            </w:r>
            <w:r w:rsidR="00460264">
              <w:rPr>
                <w:rFonts w:asciiTheme="minorHAnsi" w:hAnsiTheme="minorHAnsi" w:cstheme="minorHAnsi"/>
                <w:i/>
                <w:sz w:val="20"/>
              </w:rPr>
              <w:t xml:space="preserve"> </w:t>
            </w:r>
            <w:r w:rsidR="00460264" w:rsidRPr="009A148F">
              <w:rPr>
                <w:rFonts w:asciiTheme="minorHAnsi" w:hAnsiTheme="minorHAnsi" w:cstheme="minorHAnsi"/>
                <w:i/>
                <w:sz w:val="20"/>
              </w:rPr>
              <w:t>V</w:t>
            </w:r>
            <w:r w:rsidR="00460264">
              <w:rPr>
                <w:rFonts w:asciiTheme="minorHAnsi" w:hAnsiTheme="minorHAnsi" w:cstheme="minorHAnsi"/>
                <w:i/>
                <w:sz w:val="20"/>
              </w:rPr>
              <w:t> </w:t>
            </w:r>
            <w:r w:rsidRPr="009A148F">
              <w:rPr>
                <w:rFonts w:asciiTheme="minorHAnsi" w:hAnsiTheme="minorHAnsi" w:cstheme="minorHAnsi"/>
                <w:i/>
                <w:sz w:val="20"/>
              </w:rPr>
              <w:t>tomto kontextu je zjevné, že uvedený soud plní své funkce zcela samostatně, aniž je na kohokoli hierarchicky vázán či komukoli podřízen,</w:t>
            </w:r>
            <w:r w:rsidR="00460264">
              <w:rPr>
                <w:rFonts w:asciiTheme="minorHAnsi" w:hAnsiTheme="minorHAnsi" w:cstheme="minorHAnsi"/>
                <w:i/>
                <w:sz w:val="20"/>
              </w:rPr>
              <w:t xml:space="preserve"> </w:t>
            </w:r>
            <w:r w:rsidR="00460264" w:rsidRPr="009A148F">
              <w:rPr>
                <w:rFonts w:asciiTheme="minorHAnsi" w:hAnsiTheme="minorHAnsi" w:cstheme="minorHAnsi"/>
                <w:i/>
                <w:sz w:val="20"/>
              </w:rPr>
              <w:t>a</w:t>
            </w:r>
            <w:r w:rsidR="00460264">
              <w:rPr>
                <w:rFonts w:asciiTheme="minorHAnsi" w:hAnsiTheme="minorHAnsi" w:cstheme="minorHAnsi"/>
                <w:i/>
                <w:sz w:val="20"/>
              </w:rPr>
              <w:t> </w:t>
            </w:r>
            <w:r w:rsidRPr="009A148F">
              <w:rPr>
                <w:rFonts w:asciiTheme="minorHAnsi" w:hAnsiTheme="minorHAnsi" w:cstheme="minorHAnsi"/>
                <w:i/>
                <w:sz w:val="20"/>
              </w:rPr>
              <w:t xml:space="preserve">od nikoho nepřijímá příkazy či pokyny (viz rozsudek </w:t>
            </w:r>
            <w:proofErr w:type="spellStart"/>
            <w:r w:rsidRPr="009A148F">
              <w:rPr>
                <w:rFonts w:asciiTheme="minorHAnsi" w:hAnsiTheme="minorHAnsi" w:cstheme="minorHAnsi"/>
                <w:i/>
                <w:sz w:val="20"/>
              </w:rPr>
              <w:t>Torresi</w:t>
            </w:r>
            <w:proofErr w:type="spellEnd"/>
            <w:r w:rsidRPr="009A148F">
              <w:rPr>
                <w:rFonts w:asciiTheme="minorHAnsi" w:hAnsiTheme="minorHAnsi" w:cstheme="minorHAnsi"/>
                <w:i/>
                <w:sz w:val="20"/>
              </w:rPr>
              <w:t>, C</w:t>
            </w:r>
            <w:r w:rsidRPr="009A148F">
              <w:rPr>
                <w:rFonts w:cstheme="minorHAnsi"/>
                <w:i/>
                <w:sz w:val="20"/>
              </w:rPr>
              <w:t>‑</w:t>
            </w:r>
            <w:r w:rsidRPr="009A148F">
              <w:rPr>
                <w:rFonts w:asciiTheme="minorHAnsi" w:hAnsiTheme="minorHAnsi" w:cstheme="minorHAnsi"/>
                <w:i/>
                <w:sz w:val="20"/>
              </w:rPr>
              <w:t>58/13</w:t>
            </w:r>
            <w:r w:rsidR="00460264">
              <w:rPr>
                <w:rFonts w:asciiTheme="minorHAnsi" w:hAnsiTheme="minorHAnsi" w:cstheme="minorHAnsi"/>
                <w:i/>
                <w:sz w:val="20"/>
              </w:rPr>
              <w:t xml:space="preserve"> </w:t>
            </w:r>
            <w:r w:rsidR="00460264" w:rsidRPr="009A148F">
              <w:rPr>
                <w:rFonts w:asciiTheme="minorHAnsi" w:hAnsiTheme="minorHAnsi" w:cstheme="minorHAnsi"/>
                <w:i/>
                <w:sz w:val="20"/>
              </w:rPr>
              <w:t>a</w:t>
            </w:r>
            <w:r w:rsidR="00460264">
              <w:rPr>
                <w:rFonts w:asciiTheme="minorHAnsi" w:hAnsiTheme="minorHAnsi" w:cstheme="minorHAnsi"/>
                <w:i/>
                <w:sz w:val="20"/>
              </w:rPr>
              <w:t> </w:t>
            </w:r>
            <w:r w:rsidRPr="009A148F">
              <w:rPr>
                <w:rFonts w:asciiTheme="minorHAnsi" w:hAnsiTheme="minorHAnsi" w:cstheme="minorHAnsi"/>
                <w:i/>
                <w:sz w:val="20"/>
              </w:rPr>
              <w:t>C</w:t>
            </w:r>
            <w:r w:rsidRPr="009A148F">
              <w:rPr>
                <w:rFonts w:cstheme="minorHAnsi"/>
                <w:i/>
                <w:sz w:val="20"/>
              </w:rPr>
              <w:t>‑</w:t>
            </w:r>
            <w:r w:rsidRPr="009A148F">
              <w:rPr>
                <w:rFonts w:asciiTheme="minorHAnsi" w:hAnsiTheme="minorHAnsi" w:cstheme="minorHAnsi"/>
                <w:i/>
                <w:sz w:val="20"/>
              </w:rPr>
              <w:t>59/13, EU:C:2014:2088, bod 22), čímž je chráněn před vnějšími zásahy nebo tlaky, které by mohly ohrozit nezávislost rozhodování jeho členů (rozsudek Wilson, C</w:t>
            </w:r>
            <w:r w:rsidRPr="009A148F">
              <w:rPr>
                <w:rFonts w:cstheme="minorHAnsi"/>
                <w:i/>
                <w:sz w:val="20"/>
              </w:rPr>
              <w:t>‑</w:t>
            </w:r>
            <w:r w:rsidRPr="009A148F">
              <w:rPr>
                <w:rFonts w:asciiTheme="minorHAnsi" w:hAnsiTheme="minorHAnsi" w:cstheme="minorHAnsi"/>
                <w:i/>
                <w:sz w:val="20"/>
              </w:rPr>
              <w:t>506/04, EU:C:2006:587, bod 51,</w:t>
            </w:r>
            <w:r w:rsidR="00460264">
              <w:rPr>
                <w:rFonts w:asciiTheme="minorHAnsi" w:hAnsiTheme="minorHAnsi" w:cstheme="minorHAnsi"/>
                <w:i/>
                <w:sz w:val="20"/>
              </w:rPr>
              <w:t xml:space="preserve"> </w:t>
            </w:r>
            <w:r w:rsidR="00460264" w:rsidRPr="009A148F">
              <w:rPr>
                <w:rFonts w:asciiTheme="minorHAnsi" w:hAnsiTheme="minorHAnsi" w:cstheme="minorHAnsi"/>
                <w:i/>
                <w:sz w:val="20"/>
              </w:rPr>
              <w:t>a</w:t>
            </w:r>
            <w:r w:rsidR="00460264">
              <w:rPr>
                <w:rFonts w:asciiTheme="minorHAnsi" w:hAnsiTheme="minorHAnsi" w:cstheme="minorHAnsi"/>
                <w:i/>
                <w:sz w:val="20"/>
              </w:rPr>
              <w:t> </w:t>
            </w:r>
            <w:r w:rsidRPr="009A148F">
              <w:rPr>
                <w:rFonts w:asciiTheme="minorHAnsi" w:hAnsiTheme="minorHAnsi" w:cstheme="minorHAnsi"/>
                <w:i/>
                <w:sz w:val="20"/>
              </w:rPr>
              <w:t>TDC, C</w:t>
            </w:r>
            <w:r w:rsidRPr="009A148F">
              <w:rPr>
                <w:rFonts w:cstheme="minorHAnsi"/>
                <w:i/>
                <w:sz w:val="20"/>
              </w:rPr>
              <w:t>‑</w:t>
            </w:r>
            <w:r w:rsidRPr="009A148F">
              <w:rPr>
                <w:rFonts w:asciiTheme="minorHAnsi" w:hAnsiTheme="minorHAnsi" w:cstheme="minorHAnsi"/>
                <w:i/>
                <w:sz w:val="20"/>
              </w:rPr>
              <w:t>222/13, EU:2014:2265, bod 30).</w:t>
            </w:r>
          </w:p>
          <w:p w14:paraId="0BD38958" w14:textId="77777777" w:rsidR="009A148F" w:rsidRPr="009A148F" w:rsidRDefault="009A148F" w:rsidP="00410A93">
            <w:pPr>
              <w:jc w:val="both"/>
              <w:rPr>
                <w:rFonts w:asciiTheme="minorHAnsi" w:hAnsiTheme="minorHAnsi" w:cstheme="minorHAnsi"/>
                <w:i/>
                <w:sz w:val="20"/>
                <w:szCs w:val="20"/>
              </w:rPr>
            </w:pPr>
          </w:p>
          <w:p w14:paraId="4D489C75" w14:textId="77777777" w:rsidR="002667C3" w:rsidRDefault="002667C3" w:rsidP="00410A93">
            <w:pPr>
              <w:jc w:val="both"/>
              <w:rPr>
                <w:rFonts w:asciiTheme="minorHAnsi" w:hAnsiTheme="minorHAnsi" w:cstheme="minorHAnsi"/>
                <w:i/>
                <w:sz w:val="20"/>
              </w:rPr>
            </w:pPr>
            <w:r w:rsidRPr="009A148F">
              <w:rPr>
                <w:rFonts w:asciiTheme="minorHAnsi" w:hAnsiTheme="minorHAnsi" w:cstheme="minorHAnsi"/>
                <w:i/>
                <w:sz w:val="20"/>
              </w:rPr>
              <w:t>20. […] při plnění svých úkolů plně respektuje objektivitu</w:t>
            </w:r>
            <w:r w:rsidR="00460264">
              <w:rPr>
                <w:rFonts w:asciiTheme="minorHAnsi" w:hAnsiTheme="minorHAnsi" w:cstheme="minorHAnsi"/>
                <w:i/>
                <w:sz w:val="20"/>
              </w:rPr>
              <w:t xml:space="preserve"> </w:t>
            </w:r>
            <w:r w:rsidR="00460264" w:rsidRPr="009A148F">
              <w:rPr>
                <w:rFonts w:asciiTheme="minorHAnsi" w:hAnsiTheme="minorHAnsi" w:cstheme="minorHAnsi"/>
                <w:i/>
                <w:sz w:val="20"/>
              </w:rPr>
              <w:t>a</w:t>
            </w:r>
            <w:r w:rsidR="00460264">
              <w:rPr>
                <w:rFonts w:asciiTheme="minorHAnsi" w:hAnsiTheme="minorHAnsi" w:cstheme="minorHAnsi"/>
                <w:i/>
                <w:sz w:val="20"/>
              </w:rPr>
              <w:t> </w:t>
            </w:r>
            <w:r w:rsidRPr="009A148F">
              <w:rPr>
                <w:rFonts w:asciiTheme="minorHAnsi" w:hAnsiTheme="minorHAnsi" w:cstheme="minorHAnsi"/>
                <w:i/>
                <w:sz w:val="20"/>
              </w:rPr>
              <w:t>nestrannost ve vztahu ke stranám sporu</w:t>
            </w:r>
            <w:r w:rsidR="00460264">
              <w:rPr>
                <w:rFonts w:asciiTheme="minorHAnsi" w:hAnsiTheme="minorHAnsi" w:cstheme="minorHAnsi"/>
                <w:i/>
                <w:sz w:val="20"/>
              </w:rPr>
              <w:t xml:space="preserve"> </w:t>
            </w:r>
            <w:r w:rsidR="00460264" w:rsidRPr="009A148F">
              <w:rPr>
                <w:rFonts w:asciiTheme="minorHAnsi" w:hAnsiTheme="minorHAnsi" w:cstheme="minorHAnsi"/>
                <w:i/>
                <w:sz w:val="20"/>
              </w:rPr>
              <w:t>a</w:t>
            </w:r>
            <w:r w:rsidR="00460264">
              <w:rPr>
                <w:rFonts w:asciiTheme="minorHAnsi" w:hAnsiTheme="minorHAnsi" w:cstheme="minorHAnsi"/>
                <w:i/>
                <w:sz w:val="20"/>
              </w:rPr>
              <w:t> </w:t>
            </w:r>
            <w:r w:rsidRPr="009A148F">
              <w:rPr>
                <w:rFonts w:asciiTheme="minorHAnsi" w:hAnsiTheme="minorHAnsi" w:cstheme="minorHAnsi"/>
                <w:i/>
                <w:sz w:val="20"/>
              </w:rPr>
              <w:t>jejich příslušným zájmům</w:t>
            </w:r>
            <w:r w:rsidR="00460264">
              <w:rPr>
                <w:rFonts w:asciiTheme="minorHAnsi" w:hAnsiTheme="minorHAnsi" w:cstheme="minorHAnsi"/>
                <w:i/>
                <w:sz w:val="20"/>
              </w:rPr>
              <w:t xml:space="preserve"> </w:t>
            </w:r>
            <w:r w:rsidR="00460264" w:rsidRPr="009A148F">
              <w:rPr>
                <w:rFonts w:asciiTheme="minorHAnsi" w:hAnsiTheme="minorHAnsi" w:cstheme="minorHAnsi"/>
                <w:i/>
                <w:sz w:val="20"/>
              </w:rPr>
              <w:t>s</w:t>
            </w:r>
            <w:r w:rsidR="00460264">
              <w:rPr>
                <w:rFonts w:asciiTheme="minorHAnsi" w:hAnsiTheme="minorHAnsi" w:cstheme="minorHAnsi"/>
                <w:i/>
                <w:sz w:val="20"/>
              </w:rPr>
              <w:t> </w:t>
            </w:r>
            <w:r w:rsidRPr="009A148F">
              <w:rPr>
                <w:rFonts w:asciiTheme="minorHAnsi" w:hAnsiTheme="minorHAnsi" w:cstheme="minorHAnsi"/>
                <w:i/>
                <w:sz w:val="20"/>
              </w:rPr>
              <w:t>ohledem na předmět sporu. Dále […] jsou členové tohoto orgánu neodvolatelní</w:t>
            </w:r>
            <w:r w:rsidR="00460264">
              <w:rPr>
                <w:rFonts w:asciiTheme="minorHAnsi" w:hAnsiTheme="minorHAnsi" w:cstheme="minorHAnsi"/>
                <w:i/>
                <w:sz w:val="20"/>
              </w:rPr>
              <w:t xml:space="preserve"> </w:t>
            </w:r>
            <w:r w:rsidR="00460264" w:rsidRPr="009A148F">
              <w:rPr>
                <w:rFonts w:asciiTheme="minorHAnsi" w:hAnsiTheme="minorHAnsi" w:cstheme="minorHAnsi"/>
                <w:i/>
                <w:sz w:val="20"/>
              </w:rPr>
              <w:t>a</w:t>
            </w:r>
            <w:r w:rsidR="00460264">
              <w:rPr>
                <w:rFonts w:asciiTheme="minorHAnsi" w:hAnsiTheme="minorHAnsi" w:cstheme="minorHAnsi"/>
                <w:i/>
                <w:sz w:val="20"/>
              </w:rPr>
              <w:t> </w:t>
            </w:r>
            <w:r w:rsidRPr="009A148F">
              <w:rPr>
                <w:rFonts w:asciiTheme="minorHAnsi" w:hAnsiTheme="minorHAnsi" w:cstheme="minorHAnsi"/>
                <w:i/>
                <w:sz w:val="20"/>
              </w:rPr>
              <w:t>nepřeložitelní</w:t>
            </w:r>
            <w:r w:rsidR="00460264">
              <w:rPr>
                <w:rFonts w:asciiTheme="minorHAnsi" w:hAnsiTheme="minorHAnsi" w:cstheme="minorHAnsi"/>
                <w:i/>
                <w:sz w:val="20"/>
              </w:rPr>
              <w:t xml:space="preserve"> </w:t>
            </w:r>
            <w:r w:rsidR="00460264" w:rsidRPr="009A148F">
              <w:rPr>
                <w:rFonts w:asciiTheme="minorHAnsi" w:hAnsiTheme="minorHAnsi" w:cstheme="minorHAnsi"/>
                <w:i/>
                <w:sz w:val="20"/>
              </w:rPr>
              <w:t>a</w:t>
            </w:r>
            <w:r w:rsidR="00460264">
              <w:rPr>
                <w:rFonts w:asciiTheme="minorHAnsi" w:hAnsiTheme="minorHAnsi" w:cstheme="minorHAnsi"/>
                <w:i/>
                <w:sz w:val="20"/>
              </w:rPr>
              <w:t> </w:t>
            </w:r>
            <w:r w:rsidRPr="009A148F">
              <w:rPr>
                <w:rFonts w:asciiTheme="minorHAnsi" w:hAnsiTheme="minorHAnsi" w:cstheme="minorHAnsi"/>
                <w:i/>
                <w:sz w:val="20"/>
              </w:rPr>
              <w:t>jejich funkce může skončit pouze</w:t>
            </w:r>
            <w:r w:rsidR="00460264">
              <w:rPr>
                <w:rFonts w:asciiTheme="minorHAnsi" w:hAnsiTheme="minorHAnsi" w:cstheme="minorHAnsi"/>
                <w:i/>
                <w:sz w:val="20"/>
              </w:rPr>
              <w:t xml:space="preserve"> </w:t>
            </w:r>
            <w:r w:rsidR="00460264" w:rsidRPr="009A148F">
              <w:rPr>
                <w:rFonts w:asciiTheme="minorHAnsi" w:hAnsiTheme="minorHAnsi" w:cstheme="minorHAnsi"/>
                <w:i/>
                <w:sz w:val="20"/>
              </w:rPr>
              <w:t>z</w:t>
            </w:r>
            <w:r w:rsidR="00460264">
              <w:rPr>
                <w:rFonts w:asciiTheme="minorHAnsi" w:hAnsiTheme="minorHAnsi" w:cstheme="minorHAnsi"/>
                <w:i/>
                <w:sz w:val="20"/>
              </w:rPr>
              <w:t> </w:t>
            </w:r>
            <w:r w:rsidRPr="009A148F">
              <w:rPr>
                <w:rFonts w:asciiTheme="minorHAnsi" w:hAnsiTheme="minorHAnsi" w:cstheme="minorHAnsi"/>
                <w:i/>
                <w:sz w:val="20"/>
              </w:rPr>
              <w:t>důvodů, které jsou</w:t>
            </w:r>
            <w:r w:rsidR="00460264">
              <w:rPr>
                <w:rFonts w:asciiTheme="minorHAnsi" w:hAnsiTheme="minorHAnsi" w:cstheme="minorHAnsi"/>
                <w:i/>
                <w:sz w:val="20"/>
              </w:rPr>
              <w:t xml:space="preserve"> </w:t>
            </w:r>
            <w:r w:rsidR="00460264" w:rsidRPr="009A148F">
              <w:rPr>
                <w:rFonts w:asciiTheme="minorHAnsi" w:hAnsiTheme="minorHAnsi" w:cstheme="minorHAnsi"/>
                <w:i/>
                <w:sz w:val="20"/>
              </w:rPr>
              <w:t>v</w:t>
            </w:r>
            <w:r w:rsidR="00460264">
              <w:rPr>
                <w:rFonts w:asciiTheme="minorHAnsi" w:hAnsiTheme="minorHAnsi" w:cstheme="minorHAnsi"/>
                <w:i/>
                <w:sz w:val="20"/>
              </w:rPr>
              <w:t> </w:t>
            </w:r>
            <w:r w:rsidRPr="009A148F">
              <w:rPr>
                <w:rFonts w:asciiTheme="minorHAnsi" w:hAnsiTheme="minorHAnsi" w:cstheme="minorHAnsi"/>
                <w:i/>
                <w:sz w:val="20"/>
              </w:rPr>
              <w:t>něm výslovně vyjmenovány (viz rozsudek Wilson, C</w:t>
            </w:r>
            <w:r w:rsidRPr="009A148F">
              <w:rPr>
                <w:rFonts w:cstheme="minorHAnsi"/>
                <w:i/>
                <w:sz w:val="20"/>
              </w:rPr>
              <w:t>‑</w:t>
            </w:r>
            <w:r w:rsidRPr="009A148F">
              <w:rPr>
                <w:rFonts w:asciiTheme="minorHAnsi" w:hAnsiTheme="minorHAnsi" w:cstheme="minorHAnsi"/>
                <w:i/>
                <w:sz w:val="20"/>
              </w:rPr>
              <w:t>506/04, EU:C:2006:587, body 52</w:t>
            </w:r>
            <w:r w:rsidR="00460264">
              <w:rPr>
                <w:rFonts w:asciiTheme="minorHAnsi" w:hAnsiTheme="minorHAnsi" w:cstheme="minorHAnsi"/>
                <w:i/>
                <w:sz w:val="20"/>
              </w:rPr>
              <w:t xml:space="preserve"> </w:t>
            </w:r>
            <w:r w:rsidR="00460264" w:rsidRPr="009A148F">
              <w:rPr>
                <w:rFonts w:asciiTheme="minorHAnsi" w:hAnsiTheme="minorHAnsi" w:cstheme="minorHAnsi"/>
                <w:i/>
                <w:sz w:val="20"/>
              </w:rPr>
              <w:t>a</w:t>
            </w:r>
            <w:r w:rsidR="00460264">
              <w:rPr>
                <w:rFonts w:asciiTheme="minorHAnsi" w:hAnsiTheme="minorHAnsi" w:cstheme="minorHAnsi"/>
                <w:i/>
                <w:sz w:val="20"/>
              </w:rPr>
              <w:t> </w:t>
            </w:r>
            <w:r w:rsidRPr="009A148F">
              <w:rPr>
                <w:rFonts w:asciiTheme="minorHAnsi" w:hAnsiTheme="minorHAnsi" w:cstheme="minorHAnsi"/>
                <w:i/>
                <w:sz w:val="20"/>
              </w:rPr>
              <w:t>53,</w:t>
            </w:r>
            <w:r w:rsidR="00460264">
              <w:rPr>
                <w:rFonts w:asciiTheme="minorHAnsi" w:hAnsiTheme="minorHAnsi" w:cstheme="minorHAnsi"/>
                <w:i/>
                <w:sz w:val="20"/>
              </w:rPr>
              <w:t xml:space="preserve"> </w:t>
            </w:r>
            <w:r w:rsidR="00460264" w:rsidRPr="009A148F">
              <w:rPr>
                <w:rFonts w:asciiTheme="minorHAnsi" w:hAnsiTheme="minorHAnsi" w:cstheme="minorHAnsi"/>
                <w:i/>
                <w:sz w:val="20"/>
              </w:rPr>
              <w:t>a</w:t>
            </w:r>
            <w:r w:rsidR="00460264">
              <w:rPr>
                <w:rFonts w:asciiTheme="minorHAnsi" w:hAnsiTheme="minorHAnsi" w:cstheme="minorHAnsi"/>
                <w:i/>
                <w:sz w:val="20"/>
              </w:rPr>
              <w:t> </w:t>
            </w:r>
            <w:r w:rsidRPr="009A148F">
              <w:rPr>
                <w:rFonts w:asciiTheme="minorHAnsi" w:hAnsiTheme="minorHAnsi" w:cstheme="minorHAnsi"/>
                <w:i/>
                <w:sz w:val="20"/>
              </w:rPr>
              <w:t>rozsudek TDC, C</w:t>
            </w:r>
            <w:r w:rsidRPr="009A148F">
              <w:rPr>
                <w:rFonts w:cstheme="minorHAnsi"/>
                <w:i/>
                <w:sz w:val="20"/>
              </w:rPr>
              <w:t>‑</w:t>
            </w:r>
            <w:r w:rsidRPr="009A148F">
              <w:rPr>
                <w:rFonts w:asciiTheme="minorHAnsi" w:hAnsiTheme="minorHAnsi" w:cstheme="minorHAnsi"/>
                <w:i/>
                <w:sz w:val="20"/>
              </w:rPr>
              <w:t>222/13, EU:2014:2265, body 31</w:t>
            </w:r>
            <w:r w:rsidR="00460264">
              <w:rPr>
                <w:rFonts w:asciiTheme="minorHAnsi" w:hAnsiTheme="minorHAnsi" w:cstheme="minorHAnsi"/>
                <w:i/>
                <w:sz w:val="20"/>
              </w:rPr>
              <w:t xml:space="preserve"> </w:t>
            </w:r>
            <w:r w:rsidR="00460264" w:rsidRPr="009A148F">
              <w:rPr>
                <w:rFonts w:asciiTheme="minorHAnsi" w:hAnsiTheme="minorHAnsi" w:cstheme="minorHAnsi"/>
                <w:i/>
                <w:sz w:val="20"/>
              </w:rPr>
              <w:t>a</w:t>
            </w:r>
            <w:r w:rsidR="00460264">
              <w:rPr>
                <w:rFonts w:asciiTheme="minorHAnsi" w:hAnsiTheme="minorHAnsi" w:cstheme="minorHAnsi"/>
                <w:i/>
                <w:sz w:val="20"/>
              </w:rPr>
              <w:t> </w:t>
            </w:r>
            <w:r w:rsidRPr="009A148F">
              <w:rPr>
                <w:rFonts w:asciiTheme="minorHAnsi" w:hAnsiTheme="minorHAnsi" w:cstheme="minorHAnsi"/>
                <w:i/>
                <w:sz w:val="20"/>
              </w:rPr>
              <w:t>32).</w:t>
            </w:r>
          </w:p>
          <w:p w14:paraId="75A703C6" w14:textId="77777777" w:rsidR="009A148F" w:rsidRPr="009A148F" w:rsidRDefault="009A148F" w:rsidP="00410A93">
            <w:pPr>
              <w:jc w:val="both"/>
              <w:rPr>
                <w:rFonts w:asciiTheme="minorHAnsi" w:hAnsiTheme="minorHAnsi" w:cstheme="minorHAnsi"/>
                <w:i/>
                <w:sz w:val="20"/>
                <w:szCs w:val="20"/>
              </w:rPr>
            </w:pPr>
          </w:p>
          <w:p w14:paraId="2348C9E1" w14:textId="77777777" w:rsidR="002667C3" w:rsidRDefault="00410A93" w:rsidP="00410A93">
            <w:pPr>
              <w:jc w:val="both"/>
              <w:rPr>
                <w:rFonts w:asciiTheme="minorHAnsi" w:hAnsiTheme="minorHAnsi" w:cstheme="minorHAnsi"/>
                <w:i/>
                <w:sz w:val="20"/>
              </w:rPr>
            </w:pPr>
            <w:r w:rsidRPr="009A148F">
              <w:rPr>
                <w:rFonts w:asciiTheme="minorHAnsi" w:hAnsiTheme="minorHAnsi" w:cstheme="minorHAnsi"/>
                <w:i/>
                <w:sz w:val="20"/>
              </w:rPr>
              <w:t>23.</w:t>
            </w:r>
            <w:r w:rsidR="00460264">
              <w:rPr>
                <w:rFonts w:asciiTheme="minorHAnsi" w:hAnsiTheme="minorHAnsi" w:cstheme="minorHAnsi"/>
                <w:i/>
                <w:sz w:val="20"/>
              </w:rPr>
              <w:t xml:space="preserve"> </w:t>
            </w:r>
            <w:r w:rsidR="00460264" w:rsidRPr="009A148F">
              <w:rPr>
                <w:rFonts w:asciiTheme="minorHAnsi" w:hAnsiTheme="minorHAnsi" w:cstheme="minorHAnsi"/>
                <w:i/>
                <w:sz w:val="20"/>
              </w:rPr>
              <w:t>V</w:t>
            </w:r>
            <w:r w:rsidR="00460264">
              <w:rPr>
                <w:rFonts w:asciiTheme="minorHAnsi" w:hAnsiTheme="minorHAnsi" w:cstheme="minorHAnsi"/>
                <w:i/>
                <w:sz w:val="20"/>
              </w:rPr>
              <w:t> </w:t>
            </w:r>
            <w:r w:rsidRPr="009A148F">
              <w:rPr>
                <w:rFonts w:asciiTheme="minorHAnsi" w:hAnsiTheme="minorHAnsi" w:cstheme="minorHAnsi"/>
                <w:i/>
                <w:sz w:val="20"/>
              </w:rPr>
              <w:t xml:space="preserve">tomto ohledu je nicméně třeba připomenout, že rozhodnutí předkládajícího orgánu, jehož pravomoc nezávisí na dohodě účastníků řízení, jsou pro ně závazná (viz usnesení </w:t>
            </w:r>
            <w:proofErr w:type="spellStart"/>
            <w:r w:rsidRPr="009A148F">
              <w:rPr>
                <w:rFonts w:asciiTheme="minorHAnsi" w:hAnsiTheme="minorHAnsi" w:cstheme="minorHAnsi"/>
                <w:i/>
                <w:sz w:val="20"/>
              </w:rPr>
              <w:t>Merck</w:t>
            </w:r>
            <w:proofErr w:type="spellEnd"/>
            <w:r w:rsidRPr="009A148F">
              <w:rPr>
                <w:rFonts w:asciiTheme="minorHAnsi" w:hAnsiTheme="minorHAnsi" w:cstheme="minorHAnsi"/>
                <w:i/>
                <w:sz w:val="20"/>
              </w:rPr>
              <w:t xml:space="preserve"> </w:t>
            </w:r>
            <w:proofErr w:type="spellStart"/>
            <w:r w:rsidRPr="009A148F">
              <w:rPr>
                <w:rFonts w:asciiTheme="minorHAnsi" w:hAnsiTheme="minorHAnsi" w:cstheme="minorHAnsi"/>
                <w:i/>
                <w:sz w:val="20"/>
              </w:rPr>
              <w:t>Canada</w:t>
            </w:r>
            <w:proofErr w:type="spellEnd"/>
            <w:r w:rsidRPr="009A148F">
              <w:rPr>
                <w:rFonts w:asciiTheme="minorHAnsi" w:hAnsiTheme="minorHAnsi" w:cstheme="minorHAnsi"/>
                <w:i/>
                <w:sz w:val="20"/>
              </w:rPr>
              <w:t>, C</w:t>
            </w:r>
            <w:r w:rsidRPr="009A148F">
              <w:rPr>
                <w:rFonts w:cstheme="minorHAnsi"/>
                <w:i/>
                <w:sz w:val="20"/>
              </w:rPr>
              <w:t>‑</w:t>
            </w:r>
            <w:r w:rsidRPr="009A148F">
              <w:rPr>
                <w:rFonts w:asciiTheme="minorHAnsi" w:hAnsiTheme="minorHAnsi" w:cstheme="minorHAnsi"/>
                <w:i/>
                <w:sz w:val="20"/>
              </w:rPr>
              <w:t>555/13, EU:C:2014:92, bod 18</w:t>
            </w:r>
            <w:r w:rsidR="00460264">
              <w:rPr>
                <w:rFonts w:asciiTheme="minorHAnsi" w:hAnsiTheme="minorHAnsi" w:cstheme="minorHAnsi"/>
                <w:i/>
                <w:sz w:val="20"/>
              </w:rPr>
              <w:t xml:space="preserve"> </w:t>
            </w:r>
            <w:r w:rsidR="00460264" w:rsidRPr="009A148F">
              <w:rPr>
                <w:rFonts w:asciiTheme="minorHAnsi" w:hAnsiTheme="minorHAnsi" w:cstheme="minorHAnsi"/>
                <w:i/>
                <w:sz w:val="20"/>
              </w:rPr>
              <w:t>a</w:t>
            </w:r>
            <w:r w:rsidR="00460264">
              <w:rPr>
                <w:rFonts w:asciiTheme="minorHAnsi" w:hAnsiTheme="minorHAnsi" w:cstheme="minorHAnsi"/>
                <w:i/>
                <w:sz w:val="20"/>
              </w:rPr>
              <w:t> </w:t>
            </w:r>
            <w:r w:rsidRPr="009A148F">
              <w:rPr>
                <w:rFonts w:asciiTheme="minorHAnsi" w:hAnsiTheme="minorHAnsi" w:cstheme="minorHAnsi"/>
                <w:i/>
                <w:sz w:val="20"/>
              </w:rPr>
              <w:t>citovaná judikatura,</w:t>
            </w:r>
            <w:r w:rsidR="00460264">
              <w:rPr>
                <w:rFonts w:asciiTheme="minorHAnsi" w:hAnsiTheme="minorHAnsi" w:cstheme="minorHAnsi"/>
                <w:i/>
                <w:sz w:val="20"/>
              </w:rPr>
              <w:t xml:space="preserve"> </w:t>
            </w:r>
            <w:r w:rsidR="00460264" w:rsidRPr="009A148F">
              <w:rPr>
                <w:rFonts w:asciiTheme="minorHAnsi" w:hAnsiTheme="minorHAnsi" w:cstheme="minorHAnsi"/>
                <w:i/>
                <w:sz w:val="20"/>
              </w:rPr>
              <w:t>a</w:t>
            </w:r>
            <w:r w:rsidR="00460264">
              <w:rPr>
                <w:rFonts w:asciiTheme="minorHAnsi" w:hAnsiTheme="minorHAnsi" w:cstheme="minorHAnsi"/>
                <w:i/>
                <w:sz w:val="20"/>
              </w:rPr>
              <w:t> </w:t>
            </w:r>
            <w:r w:rsidRPr="009A148F">
              <w:rPr>
                <w:rFonts w:asciiTheme="minorHAnsi" w:hAnsiTheme="minorHAnsi" w:cstheme="minorHAnsi"/>
                <w:i/>
                <w:sz w:val="20"/>
              </w:rPr>
              <w:t xml:space="preserve">rozsudek </w:t>
            </w:r>
            <w:proofErr w:type="spellStart"/>
            <w:r w:rsidRPr="009A148F">
              <w:rPr>
                <w:rFonts w:asciiTheme="minorHAnsi" w:hAnsiTheme="minorHAnsi" w:cstheme="minorHAnsi"/>
                <w:i/>
                <w:sz w:val="20"/>
              </w:rPr>
              <w:t>Ascendi</w:t>
            </w:r>
            <w:proofErr w:type="spellEnd"/>
            <w:r w:rsidRPr="009A148F">
              <w:rPr>
                <w:rFonts w:asciiTheme="minorHAnsi" w:hAnsiTheme="minorHAnsi" w:cstheme="minorHAnsi"/>
                <w:i/>
                <w:sz w:val="20"/>
              </w:rPr>
              <w:t xml:space="preserve"> </w:t>
            </w:r>
            <w:proofErr w:type="spellStart"/>
            <w:r w:rsidRPr="009A148F">
              <w:rPr>
                <w:rFonts w:asciiTheme="minorHAnsi" w:hAnsiTheme="minorHAnsi" w:cstheme="minorHAnsi"/>
                <w:i/>
                <w:sz w:val="20"/>
              </w:rPr>
              <w:t>Beiras</w:t>
            </w:r>
            <w:proofErr w:type="spellEnd"/>
            <w:r w:rsidRPr="009A148F">
              <w:rPr>
                <w:rFonts w:asciiTheme="minorHAnsi" w:hAnsiTheme="minorHAnsi" w:cstheme="minorHAnsi"/>
                <w:i/>
                <w:sz w:val="20"/>
              </w:rPr>
              <w:t xml:space="preserve"> </w:t>
            </w:r>
            <w:proofErr w:type="spellStart"/>
            <w:r w:rsidRPr="009A148F">
              <w:rPr>
                <w:rFonts w:asciiTheme="minorHAnsi" w:hAnsiTheme="minorHAnsi" w:cstheme="minorHAnsi"/>
                <w:i/>
                <w:sz w:val="20"/>
              </w:rPr>
              <w:t>Litoral</w:t>
            </w:r>
            <w:proofErr w:type="spellEnd"/>
            <w:r w:rsidRPr="009A148F">
              <w:rPr>
                <w:rFonts w:asciiTheme="minorHAnsi" w:hAnsiTheme="minorHAnsi" w:cstheme="minorHAnsi"/>
                <w:i/>
                <w:sz w:val="20"/>
              </w:rPr>
              <w:t xml:space="preserve"> e </w:t>
            </w:r>
            <w:proofErr w:type="spellStart"/>
            <w:r w:rsidRPr="009A148F">
              <w:rPr>
                <w:rFonts w:asciiTheme="minorHAnsi" w:hAnsiTheme="minorHAnsi" w:cstheme="minorHAnsi"/>
                <w:i/>
                <w:sz w:val="20"/>
              </w:rPr>
              <w:t>Alta</w:t>
            </w:r>
            <w:proofErr w:type="spellEnd"/>
            <w:r w:rsidRPr="009A148F">
              <w:rPr>
                <w:rFonts w:asciiTheme="minorHAnsi" w:hAnsiTheme="minorHAnsi" w:cstheme="minorHAnsi"/>
                <w:i/>
                <w:sz w:val="20"/>
              </w:rPr>
              <w:t xml:space="preserve">, Auto </w:t>
            </w:r>
            <w:proofErr w:type="spellStart"/>
            <w:r w:rsidRPr="009A148F">
              <w:rPr>
                <w:rFonts w:asciiTheme="minorHAnsi" w:hAnsiTheme="minorHAnsi" w:cstheme="minorHAnsi"/>
                <w:i/>
                <w:sz w:val="20"/>
              </w:rPr>
              <w:t>Estradas</w:t>
            </w:r>
            <w:proofErr w:type="spellEnd"/>
            <w:r w:rsidRPr="009A148F">
              <w:rPr>
                <w:rFonts w:asciiTheme="minorHAnsi" w:hAnsiTheme="minorHAnsi" w:cstheme="minorHAnsi"/>
                <w:i/>
                <w:sz w:val="20"/>
              </w:rPr>
              <w:t xml:space="preserve"> </w:t>
            </w:r>
            <w:proofErr w:type="spellStart"/>
            <w:r w:rsidRPr="009A148F">
              <w:rPr>
                <w:rFonts w:asciiTheme="minorHAnsi" w:hAnsiTheme="minorHAnsi" w:cstheme="minorHAnsi"/>
                <w:i/>
                <w:sz w:val="20"/>
              </w:rPr>
              <w:t>das</w:t>
            </w:r>
            <w:proofErr w:type="spellEnd"/>
            <w:r w:rsidRPr="009A148F">
              <w:rPr>
                <w:rFonts w:asciiTheme="minorHAnsi" w:hAnsiTheme="minorHAnsi" w:cstheme="minorHAnsi"/>
                <w:i/>
                <w:sz w:val="20"/>
              </w:rPr>
              <w:t xml:space="preserve"> </w:t>
            </w:r>
            <w:proofErr w:type="spellStart"/>
            <w:r w:rsidRPr="009A148F">
              <w:rPr>
                <w:rFonts w:asciiTheme="minorHAnsi" w:hAnsiTheme="minorHAnsi" w:cstheme="minorHAnsi"/>
                <w:i/>
                <w:sz w:val="20"/>
              </w:rPr>
              <w:t>Beiras</w:t>
            </w:r>
            <w:proofErr w:type="spellEnd"/>
            <w:r w:rsidRPr="009A148F">
              <w:rPr>
                <w:rFonts w:asciiTheme="minorHAnsi" w:hAnsiTheme="minorHAnsi" w:cstheme="minorHAnsi"/>
                <w:i/>
                <w:sz w:val="20"/>
              </w:rPr>
              <w:t xml:space="preserve"> </w:t>
            </w:r>
            <w:proofErr w:type="spellStart"/>
            <w:r w:rsidRPr="009A148F">
              <w:rPr>
                <w:rFonts w:asciiTheme="minorHAnsi" w:hAnsiTheme="minorHAnsi" w:cstheme="minorHAnsi"/>
                <w:i/>
                <w:sz w:val="20"/>
              </w:rPr>
              <w:t>Litoral</w:t>
            </w:r>
            <w:proofErr w:type="spellEnd"/>
            <w:r w:rsidRPr="009A148F">
              <w:rPr>
                <w:rFonts w:asciiTheme="minorHAnsi" w:hAnsiTheme="minorHAnsi" w:cstheme="minorHAnsi"/>
                <w:i/>
                <w:sz w:val="20"/>
              </w:rPr>
              <w:t xml:space="preserve"> e </w:t>
            </w:r>
            <w:proofErr w:type="spellStart"/>
            <w:r w:rsidRPr="009A148F">
              <w:rPr>
                <w:rFonts w:asciiTheme="minorHAnsi" w:hAnsiTheme="minorHAnsi" w:cstheme="minorHAnsi"/>
                <w:i/>
                <w:sz w:val="20"/>
              </w:rPr>
              <w:t>Alta</w:t>
            </w:r>
            <w:proofErr w:type="spellEnd"/>
            <w:r w:rsidRPr="009A148F">
              <w:rPr>
                <w:rFonts w:asciiTheme="minorHAnsi" w:hAnsiTheme="minorHAnsi" w:cstheme="minorHAnsi"/>
                <w:i/>
                <w:sz w:val="20"/>
              </w:rPr>
              <w:t>, C</w:t>
            </w:r>
            <w:r w:rsidRPr="009A148F">
              <w:rPr>
                <w:rFonts w:cstheme="minorHAnsi"/>
                <w:i/>
                <w:sz w:val="20"/>
              </w:rPr>
              <w:t>‑</w:t>
            </w:r>
            <w:r w:rsidRPr="009A148F">
              <w:rPr>
                <w:rFonts w:asciiTheme="minorHAnsi" w:hAnsiTheme="minorHAnsi" w:cstheme="minorHAnsi"/>
                <w:i/>
                <w:sz w:val="20"/>
              </w:rPr>
              <w:t>377/13, EU:C:2014:1754, bod 28).</w:t>
            </w:r>
          </w:p>
          <w:p w14:paraId="3A757576" w14:textId="77777777" w:rsidR="009A148F" w:rsidRPr="009A148F" w:rsidRDefault="009A148F" w:rsidP="00410A93">
            <w:pPr>
              <w:jc w:val="both"/>
              <w:rPr>
                <w:rFonts w:asciiTheme="minorHAnsi" w:hAnsiTheme="minorHAnsi" w:cstheme="minorHAnsi"/>
                <w:i/>
                <w:sz w:val="20"/>
                <w:szCs w:val="20"/>
              </w:rPr>
            </w:pPr>
          </w:p>
          <w:p w14:paraId="4727F699" w14:textId="77777777" w:rsidR="001B4D42" w:rsidRPr="00410A93" w:rsidRDefault="00410A93" w:rsidP="00410A93">
            <w:pPr>
              <w:jc w:val="both"/>
              <w:rPr>
                <w:rFonts w:asciiTheme="minorHAnsi" w:hAnsiTheme="minorHAnsi" w:cstheme="minorHAnsi"/>
                <w:sz w:val="20"/>
                <w:szCs w:val="20"/>
              </w:rPr>
            </w:pPr>
            <w:r>
              <w:rPr>
                <w:rFonts w:asciiTheme="minorHAnsi" w:hAnsiTheme="minorHAnsi"/>
                <w:i/>
                <w:sz w:val="20"/>
              </w:rPr>
              <w:t>24. […]</w:t>
            </w:r>
            <w:r w:rsidR="00460264">
              <w:rPr>
                <w:rFonts w:asciiTheme="minorHAnsi" w:hAnsiTheme="minorHAnsi"/>
                <w:i/>
                <w:sz w:val="20"/>
              </w:rPr>
              <w:t xml:space="preserve"> v </w:t>
            </w:r>
            <w:r>
              <w:rPr>
                <w:rFonts w:asciiTheme="minorHAnsi" w:hAnsiTheme="minorHAnsi"/>
                <w:i/>
                <w:sz w:val="20"/>
              </w:rPr>
              <w:t>zadávacích řízeních uchazeči</w:t>
            </w:r>
            <w:r w:rsidR="00460264">
              <w:rPr>
                <w:rFonts w:asciiTheme="minorHAnsi" w:hAnsiTheme="minorHAnsi"/>
                <w:i/>
                <w:sz w:val="20"/>
              </w:rPr>
              <w:t xml:space="preserve"> v </w:t>
            </w:r>
            <w:r>
              <w:rPr>
                <w:rFonts w:asciiTheme="minorHAnsi" w:hAnsiTheme="minorHAnsi"/>
                <w:i/>
                <w:sz w:val="20"/>
              </w:rPr>
              <w:t>praxi obvykle nevyužívají možnosti podat přímo správní žalobu, aniž předtím podali</w:t>
            </w:r>
            <w:r w:rsidR="00460264">
              <w:rPr>
                <w:rFonts w:asciiTheme="minorHAnsi" w:hAnsiTheme="minorHAnsi"/>
                <w:i/>
                <w:sz w:val="20"/>
              </w:rPr>
              <w:t xml:space="preserve"> u </w:t>
            </w:r>
            <w:proofErr w:type="spellStart"/>
            <w:r>
              <w:rPr>
                <w:rFonts w:asciiTheme="minorHAnsi" w:hAnsiTheme="minorHAnsi"/>
                <w:i/>
                <w:sz w:val="20"/>
              </w:rPr>
              <w:t>Tribunal</w:t>
            </w:r>
            <w:proofErr w:type="spellEnd"/>
            <w:r>
              <w:rPr>
                <w:rFonts w:asciiTheme="minorHAnsi" w:hAnsiTheme="minorHAnsi"/>
                <w:i/>
                <w:sz w:val="20"/>
              </w:rPr>
              <w:t xml:space="preserve"> </w:t>
            </w:r>
            <w:proofErr w:type="spellStart"/>
            <w:r>
              <w:rPr>
                <w:rFonts w:asciiTheme="minorHAnsi" w:hAnsiTheme="minorHAnsi"/>
                <w:i/>
                <w:sz w:val="20"/>
              </w:rPr>
              <w:t>Català</w:t>
            </w:r>
            <w:proofErr w:type="spellEnd"/>
            <w:r>
              <w:rPr>
                <w:rFonts w:asciiTheme="minorHAnsi" w:hAnsiTheme="minorHAnsi"/>
                <w:i/>
                <w:sz w:val="20"/>
              </w:rPr>
              <w:t xml:space="preserve"> de </w:t>
            </w:r>
            <w:proofErr w:type="spellStart"/>
            <w:r>
              <w:rPr>
                <w:rFonts w:asciiTheme="minorHAnsi" w:hAnsiTheme="minorHAnsi"/>
                <w:i/>
                <w:sz w:val="20"/>
              </w:rPr>
              <w:t>Contractes</w:t>
            </w:r>
            <w:proofErr w:type="spellEnd"/>
            <w:r>
              <w:rPr>
                <w:rFonts w:asciiTheme="minorHAnsi" w:hAnsiTheme="minorHAnsi"/>
                <w:i/>
                <w:sz w:val="20"/>
              </w:rPr>
              <w:t xml:space="preserve"> </w:t>
            </w:r>
            <w:proofErr w:type="spellStart"/>
            <w:r>
              <w:rPr>
                <w:rFonts w:asciiTheme="minorHAnsi" w:hAnsiTheme="minorHAnsi"/>
                <w:i/>
                <w:sz w:val="20"/>
              </w:rPr>
              <w:t>del</w:t>
            </w:r>
            <w:proofErr w:type="spellEnd"/>
            <w:r>
              <w:rPr>
                <w:rFonts w:asciiTheme="minorHAnsi" w:hAnsiTheme="minorHAnsi"/>
                <w:i/>
                <w:sz w:val="20"/>
              </w:rPr>
              <w:t xml:space="preserve"> </w:t>
            </w:r>
            <w:proofErr w:type="spellStart"/>
            <w:r>
              <w:rPr>
                <w:rFonts w:asciiTheme="minorHAnsi" w:hAnsiTheme="minorHAnsi"/>
                <w:i/>
                <w:sz w:val="20"/>
              </w:rPr>
              <w:t>Sector</w:t>
            </w:r>
            <w:proofErr w:type="spellEnd"/>
            <w:r>
              <w:rPr>
                <w:rFonts w:asciiTheme="minorHAnsi" w:hAnsiTheme="minorHAnsi"/>
                <w:i/>
                <w:sz w:val="20"/>
              </w:rPr>
              <w:t xml:space="preserve"> </w:t>
            </w:r>
            <w:proofErr w:type="spellStart"/>
            <w:r>
              <w:rPr>
                <w:rFonts w:asciiTheme="minorHAnsi" w:hAnsiTheme="minorHAnsi"/>
                <w:i/>
                <w:sz w:val="20"/>
              </w:rPr>
              <w:t>Públic</w:t>
            </w:r>
            <w:proofErr w:type="spellEnd"/>
            <w:r>
              <w:rPr>
                <w:rFonts w:asciiTheme="minorHAnsi" w:hAnsiTheme="minorHAnsi"/>
                <w:i/>
                <w:sz w:val="20"/>
              </w:rPr>
              <w:t xml:space="preserve"> zvláštní opravný prostředek,</w:t>
            </w:r>
            <w:r w:rsidR="00460264">
              <w:rPr>
                <w:rFonts w:asciiTheme="minorHAnsi" w:hAnsiTheme="minorHAnsi"/>
                <w:i/>
                <w:sz w:val="20"/>
              </w:rPr>
              <w:t xml:space="preserve"> </w:t>
            </w:r>
            <w:r w:rsidR="00460264">
              <w:rPr>
                <w:rFonts w:asciiTheme="minorHAnsi" w:hAnsiTheme="minorHAnsi"/>
                <w:i/>
                <w:sz w:val="20"/>
              </w:rPr>
              <w:lastRenderedPageBreak/>
              <w:t>o </w:t>
            </w:r>
            <w:r>
              <w:rPr>
                <w:rFonts w:asciiTheme="minorHAnsi" w:hAnsiTheme="minorHAnsi"/>
                <w:i/>
                <w:sz w:val="20"/>
              </w:rPr>
              <w:t>který jde</w:t>
            </w:r>
            <w:r w:rsidR="00460264">
              <w:rPr>
                <w:rFonts w:asciiTheme="minorHAnsi" w:hAnsiTheme="minorHAnsi"/>
                <w:i/>
                <w:sz w:val="20"/>
              </w:rPr>
              <w:t xml:space="preserve"> v </w:t>
            </w:r>
            <w:r>
              <w:rPr>
                <w:rFonts w:asciiTheme="minorHAnsi" w:hAnsiTheme="minorHAnsi"/>
                <w:i/>
                <w:sz w:val="20"/>
              </w:rPr>
              <w:t>původním řízení. […] je</w:t>
            </w:r>
            <w:r w:rsidR="00460264">
              <w:rPr>
                <w:rFonts w:asciiTheme="minorHAnsi" w:hAnsiTheme="minorHAnsi"/>
                <w:i/>
                <w:sz w:val="20"/>
              </w:rPr>
              <w:t xml:space="preserve"> v </w:t>
            </w:r>
            <w:r>
              <w:rPr>
                <w:rFonts w:asciiTheme="minorHAnsi" w:hAnsiTheme="minorHAnsi"/>
                <w:i/>
                <w:sz w:val="20"/>
              </w:rPr>
              <w:t>prvé řadě na předkládajícím orgánu, aby dbal na dodržování unijních pravidel</w:t>
            </w:r>
            <w:r w:rsidR="00460264">
              <w:rPr>
                <w:rFonts w:asciiTheme="minorHAnsi" w:hAnsiTheme="minorHAnsi"/>
                <w:i/>
                <w:sz w:val="20"/>
              </w:rPr>
              <w:t xml:space="preserve"> v </w:t>
            </w:r>
            <w:r>
              <w:rPr>
                <w:rFonts w:asciiTheme="minorHAnsi" w:hAnsiTheme="minorHAnsi"/>
                <w:i/>
                <w:sz w:val="20"/>
              </w:rPr>
              <w:t>oblasti veřejných zakázek.“</w:t>
            </w:r>
          </w:p>
        </w:tc>
      </w:tr>
    </w:tbl>
    <w:p w14:paraId="325652DF" w14:textId="77777777" w:rsidR="00DA0D8C" w:rsidRPr="007D56D6" w:rsidRDefault="00DA0D8C" w:rsidP="008F1F7C">
      <w:pPr>
        <w:spacing w:line="276" w:lineRule="auto"/>
        <w:jc w:val="both"/>
        <w:rPr>
          <w:rFonts w:cstheme="minorHAnsi"/>
        </w:rPr>
      </w:pPr>
    </w:p>
    <w:p w14:paraId="34B5F06E" w14:textId="77777777" w:rsidR="008F1F7C" w:rsidRPr="00862391" w:rsidRDefault="008F1F7C" w:rsidP="00F37B27">
      <w:pPr>
        <w:spacing w:after="120" w:line="276" w:lineRule="auto"/>
        <w:jc w:val="both"/>
        <w:rPr>
          <w:rFonts w:cstheme="minorHAnsi"/>
          <w:color w:val="384575"/>
        </w:rPr>
      </w:pPr>
      <w:r w:rsidRPr="00862391">
        <w:rPr>
          <w:color w:val="384575"/>
        </w:rPr>
        <w:t>V rozsahu,</w:t>
      </w:r>
      <w:r w:rsidR="00460264" w:rsidRPr="00862391">
        <w:rPr>
          <w:color w:val="384575"/>
        </w:rPr>
        <w:t xml:space="preserve"> v </w:t>
      </w:r>
      <w:r w:rsidRPr="00862391">
        <w:rPr>
          <w:color w:val="384575"/>
        </w:rPr>
        <w:t>jakém je žádost</w:t>
      </w:r>
      <w:r w:rsidR="00460264" w:rsidRPr="00862391">
        <w:rPr>
          <w:color w:val="384575"/>
        </w:rPr>
        <w:t xml:space="preserve"> o </w:t>
      </w:r>
      <w:r w:rsidRPr="00862391">
        <w:rPr>
          <w:color w:val="384575"/>
        </w:rPr>
        <w:t>rozhodnutí</w:t>
      </w:r>
      <w:r w:rsidR="00460264" w:rsidRPr="00862391">
        <w:rPr>
          <w:color w:val="384575"/>
        </w:rPr>
        <w:t xml:space="preserve"> o </w:t>
      </w:r>
      <w:r w:rsidRPr="00862391">
        <w:rPr>
          <w:color w:val="384575"/>
        </w:rPr>
        <w:t>předběžné otázce mechanismem soudní spolupráce</w:t>
      </w:r>
      <w:r w:rsidR="00460264" w:rsidRPr="00862391">
        <w:rPr>
          <w:color w:val="384575"/>
        </w:rPr>
        <w:t xml:space="preserve"> a </w:t>
      </w:r>
      <w:r w:rsidRPr="00862391">
        <w:rPr>
          <w:color w:val="384575"/>
        </w:rPr>
        <w:t>pomoci ze strany SDEU, mohou</w:t>
      </w:r>
      <w:r w:rsidR="00460264" w:rsidRPr="00862391">
        <w:rPr>
          <w:color w:val="384575"/>
        </w:rPr>
        <w:t xml:space="preserve"> o </w:t>
      </w:r>
      <w:r w:rsidRPr="00862391">
        <w:rPr>
          <w:color w:val="384575"/>
        </w:rPr>
        <w:t>rozhodnutí</w:t>
      </w:r>
      <w:r w:rsidR="00460264" w:rsidRPr="00862391">
        <w:rPr>
          <w:color w:val="384575"/>
        </w:rPr>
        <w:t xml:space="preserve"> o </w:t>
      </w:r>
      <w:r w:rsidRPr="00862391">
        <w:rPr>
          <w:color w:val="384575"/>
        </w:rPr>
        <w:t>předběžné otázce požádat všechny soudy. Aby však bylo zaručeno jednotné uplatňování unijního práva, je podání žádosti</w:t>
      </w:r>
      <w:r w:rsidR="00460264" w:rsidRPr="00862391">
        <w:rPr>
          <w:color w:val="384575"/>
        </w:rPr>
        <w:t xml:space="preserve"> v </w:t>
      </w:r>
      <w:r w:rsidRPr="00862391">
        <w:rPr>
          <w:color w:val="384575"/>
        </w:rPr>
        <w:t>případě, že rozhodnutí nelze napadnout opravnými prostředky podle vnitrostátního práva, povinné (</w:t>
      </w:r>
      <w:r w:rsidR="00460264" w:rsidRPr="00862391">
        <w:rPr>
          <w:color w:val="384575"/>
        </w:rPr>
        <w:t>čl. </w:t>
      </w:r>
      <w:r w:rsidRPr="00862391">
        <w:rPr>
          <w:color w:val="384575"/>
        </w:rPr>
        <w:t xml:space="preserve">267 odst. 3 SFEU). Judikatura SDEU zprostila soudy této povinnosti za těchto okolností: pokud otázka, která má být vznesena, není relevantní pro řešení právní věci členského státu; pokud vnitrostátní soudce nemá důvodné pochybnosti ohledně způsobu uplatnění unijního práva – tzv. teorie </w:t>
      </w:r>
      <w:proofErr w:type="spellStart"/>
      <w:r w:rsidRPr="00862391">
        <w:rPr>
          <w:i/>
          <w:iCs/>
          <w:color w:val="384575"/>
        </w:rPr>
        <w:t>acte</w:t>
      </w:r>
      <w:proofErr w:type="spellEnd"/>
      <w:r w:rsidRPr="00862391">
        <w:rPr>
          <w:i/>
          <w:iCs/>
          <w:color w:val="384575"/>
        </w:rPr>
        <w:t xml:space="preserve"> </w:t>
      </w:r>
      <w:proofErr w:type="spellStart"/>
      <w:r w:rsidRPr="00862391">
        <w:rPr>
          <w:i/>
          <w:iCs/>
          <w:color w:val="384575"/>
        </w:rPr>
        <w:t>clair</w:t>
      </w:r>
      <w:proofErr w:type="spellEnd"/>
      <w:r w:rsidRPr="00862391">
        <w:rPr>
          <w:color w:val="384575"/>
        </w:rPr>
        <w:t>; nebo pokud SDEU vyjasnil danou věc</w:t>
      </w:r>
      <w:r w:rsidR="00460264" w:rsidRPr="00862391">
        <w:rPr>
          <w:color w:val="384575"/>
        </w:rPr>
        <w:t xml:space="preserve"> v </w:t>
      </w:r>
      <w:r w:rsidRPr="00862391">
        <w:rPr>
          <w:color w:val="384575"/>
        </w:rPr>
        <w:t xml:space="preserve">předchozích rozhodnutích. </w:t>
      </w:r>
    </w:p>
    <w:p w14:paraId="42D58760" w14:textId="77777777" w:rsidR="002A0BDA" w:rsidRPr="00862391" w:rsidRDefault="00815FCB" w:rsidP="00F37B27">
      <w:pPr>
        <w:spacing w:after="120" w:line="276" w:lineRule="auto"/>
        <w:jc w:val="both"/>
        <w:rPr>
          <w:rFonts w:cstheme="minorHAnsi"/>
          <w:color w:val="384575"/>
        </w:rPr>
      </w:pPr>
      <w:r w:rsidRPr="00862391">
        <w:rPr>
          <w:color w:val="384575"/>
        </w:rPr>
        <w:t>Advokáti by měli posoudit různé možnosti, pokud se vnitrostátní soud rozhodne nepožádat SDEU</w:t>
      </w:r>
      <w:r w:rsidR="00460264" w:rsidRPr="00862391">
        <w:rPr>
          <w:color w:val="384575"/>
        </w:rPr>
        <w:t xml:space="preserve"> o </w:t>
      </w:r>
      <w:r w:rsidRPr="00862391">
        <w:rPr>
          <w:color w:val="384575"/>
        </w:rPr>
        <w:t>rozhodnutí</w:t>
      </w:r>
      <w:r w:rsidR="00460264" w:rsidRPr="00862391">
        <w:rPr>
          <w:color w:val="384575"/>
        </w:rPr>
        <w:t xml:space="preserve"> o </w:t>
      </w:r>
      <w:r w:rsidRPr="00862391">
        <w:rPr>
          <w:color w:val="384575"/>
        </w:rPr>
        <w:t>předběžné otázce, přestože je</w:t>
      </w:r>
      <w:r w:rsidR="00460264" w:rsidRPr="00862391">
        <w:rPr>
          <w:color w:val="384575"/>
        </w:rPr>
        <w:t xml:space="preserve"> k </w:t>
      </w:r>
      <w:r w:rsidRPr="00862391">
        <w:rPr>
          <w:color w:val="384575"/>
        </w:rPr>
        <w:t>tomu povinen. Zaprvé, pokud jsou splněny podmínky, může se jednat</w:t>
      </w:r>
      <w:r w:rsidR="00460264" w:rsidRPr="00862391">
        <w:rPr>
          <w:color w:val="384575"/>
        </w:rPr>
        <w:t xml:space="preserve"> i </w:t>
      </w:r>
      <w:r w:rsidRPr="00862391">
        <w:rPr>
          <w:color w:val="384575"/>
        </w:rPr>
        <w:t>o porušení článku 47 Listiny. Zároveň, pokud dojde</w:t>
      </w:r>
      <w:r w:rsidR="00460264" w:rsidRPr="00862391">
        <w:rPr>
          <w:color w:val="384575"/>
        </w:rPr>
        <w:t xml:space="preserve"> k </w:t>
      </w:r>
      <w:r w:rsidRPr="00862391">
        <w:rPr>
          <w:color w:val="384575"/>
        </w:rPr>
        <w:t>porušení práva na spravedlivý proces. ESLP potvrdil, že neodůvodněné odmítnutí požádat</w:t>
      </w:r>
      <w:r w:rsidR="00460264" w:rsidRPr="00862391">
        <w:rPr>
          <w:color w:val="384575"/>
        </w:rPr>
        <w:t xml:space="preserve"> o </w:t>
      </w:r>
      <w:r w:rsidRPr="00862391">
        <w:rPr>
          <w:color w:val="384575"/>
        </w:rPr>
        <w:t>rozhodnutí</w:t>
      </w:r>
      <w:r w:rsidR="00460264" w:rsidRPr="00862391">
        <w:rPr>
          <w:color w:val="384575"/>
        </w:rPr>
        <w:t xml:space="preserve"> o </w:t>
      </w:r>
      <w:r w:rsidRPr="00862391">
        <w:rPr>
          <w:color w:val="384575"/>
        </w:rPr>
        <w:t xml:space="preserve">předběžné otázce představuje porušení článku 6 EÚLP, jako ve věci </w:t>
      </w:r>
      <w:proofErr w:type="spellStart"/>
      <w:r w:rsidRPr="00862391">
        <w:rPr>
          <w:i/>
          <w:iCs/>
          <w:color w:val="384575"/>
        </w:rPr>
        <w:t>Dhabi</w:t>
      </w:r>
      <w:proofErr w:type="spellEnd"/>
      <w:r w:rsidRPr="00862391">
        <w:rPr>
          <w:i/>
          <w:iCs/>
          <w:color w:val="384575"/>
        </w:rPr>
        <w:t xml:space="preserve"> proti Itálii (ESLP, 8/04/2014 </w:t>
      </w:r>
      <w:proofErr w:type="spellStart"/>
      <w:r w:rsidRPr="00862391">
        <w:rPr>
          <w:i/>
          <w:iCs/>
          <w:color w:val="384575"/>
        </w:rPr>
        <w:t>Dhabi</w:t>
      </w:r>
      <w:proofErr w:type="spellEnd"/>
      <w:r w:rsidRPr="00862391">
        <w:rPr>
          <w:i/>
          <w:iCs/>
          <w:color w:val="384575"/>
        </w:rPr>
        <w:t xml:space="preserve"> proti Itálii)</w:t>
      </w:r>
      <w:r w:rsidRPr="00862391">
        <w:rPr>
          <w:color w:val="384575"/>
        </w:rPr>
        <w:t>. Členský stát může kromě toho nést odpovědnost za škodu, která účastníkovi řízení vznikne. Tím dojde</w:t>
      </w:r>
      <w:r w:rsidR="00460264" w:rsidRPr="00862391">
        <w:rPr>
          <w:color w:val="384575"/>
        </w:rPr>
        <w:t xml:space="preserve"> k </w:t>
      </w:r>
      <w:r w:rsidRPr="00862391">
        <w:rPr>
          <w:color w:val="384575"/>
        </w:rPr>
        <w:t>příslušným procesním úkonům.</w:t>
      </w:r>
      <w:r w:rsidR="00460264" w:rsidRPr="00862391">
        <w:rPr>
          <w:color w:val="384575"/>
        </w:rPr>
        <w:t xml:space="preserve"> A </w:t>
      </w:r>
      <w:r w:rsidRPr="00862391">
        <w:rPr>
          <w:color w:val="384575"/>
        </w:rPr>
        <w:t>další způsob, který by bylo možné prozkoumat, vychází</w:t>
      </w:r>
      <w:r w:rsidR="00460264" w:rsidRPr="00862391">
        <w:rPr>
          <w:color w:val="384575"/>
        </w:rPr>
        <w:t xml:space="preserve"> z </w:t>
      </w:r>
      <w:r w:rsidRPr="00862391">
        <w:rPr>
          <w:color w:val="384575"/>
        </w:rPr>
        <w:t>myšlenky, že opomenutí požádat</w:t>
      </w:r>
      <w:r w:rsidR="00460264" w:rsidRPr="00862391">
        <w:rPr>
          <w:color w:val="384575"/>
        </w:rPr>
        <w:t xml:space="preserve"> o </w:t>
      </w:r>
      <w:r w:rsidRPr="00862391">
        <w:rPr>
          <w:color w:val="384575"/>
        </w:rPr>
        <w:t>rozhodnutí</w:t>
      </w:r>
      <w:r w:rsidR="00460264" w:rsidRPr="00862391">
        <w:rPr>
          <w:color w:val="384575"/>
        </w:rPr>
        <w:t xml:space="preserve"> o </w:t>
      </w:r>
      <w:r w:rsidRPr="00862391">
        <w:rPr>
          <w:color w:val="384575"/>
        </w:rPr>
        <w:t>předběžné otázce může mít dopad na platnost rozsudku soudu členského státu. Proto je možné pokusit se</w:t>
      </w:r>
      <w:r w:rsidR="00460264" w:rsidRPr="00862391">
        <w:rPr>
          <w:color w:val="384575"/>
        </w:rPr>
        <w:t xml:space="preserve"> o </w:t>
      </w:r>
      <w:r w:rsidRPr="00862391">
        <w:rPr>
          <w:color w:val="384575"/>
        </w:rPr>
        <w:t>obnovu řízení, pokud je po rozhodnutí soudu členského státu zřejmé, že tento soud pochybil</w:t>
      </w:r>
      <w:r w:rsidR="00460264" w:rsidRPr="00862391">
        <w:rPr>
          <w:color w:val="384575"/>
        </w:rPr>
        <w:t xml:space="preserve"> z </w:t>
      </w:r>
      <w:r w:rsidRPr="00862391">
        <w:rPr>
          <w:color w:val="384575"/>
        </w:rPr>
        <w:t>hlediska unijního práva. Informace lze kromě toho předat Evropské komisi, aby posoudila možnost zahájení řízení</w:t>
      </w:r>
      <w:r w:rsidR="00460264" w:rsidRPr="00862391">
        <w:rPr>
          <w:color w:val="384575"/>
        </w:rPr>
        <w:t xml:space="preserve"> o </w:t>
      </w:r>
      <w:r w:rsidRPr="00862391">
        <w:rPr>
          <w:color w:val="384575"/>
        </w:rPr>
        <w:t>porušení unijního práva.</w:t>
      </w:r>
    </w:p>
    <w:p w14:paraId="14B7386E" w14:textId="77777777" w:rsidR="00EE3A32" w:rsidRPr="00862391" w:rsidRDefault="008F1F7C" w:rsidP="00F37B27">
      <w:pPr>
        <w:spacing w:after="120" w:line="276" w:lineRule="auto"/>
        <w:jc w:val="both"/>
        <w:rPr>
          <w:rFonts w:cstheme="minorHAnsi"/>
          <w:color w:val="384575"/>
        </w:rPr>
      </w:pPr>
      <w:r w:rsidRPr="00862391">
        <w:rPr>
          <w:color w:val="384575"/>
        </w:rPr>
        <w:t>Pokud jde</w:t>
      </w:r>
      <w:r w:rsidR="00460264" w:rsidRPr="00862391">
        <w:rPr>
          <w:color w:val="384575"/>
        </w:rPr>
        <w:t xml:space="preserve"> o </w:t>
      </w:r>
      <w:r w:rsidRPr="00862391">
        <w:rPr>
          <w:color w:val="384575"/>
        </w:rPr>
        <w:t>řízení, je na vnitrostátním soudu, aby rozhodl</w:t>
      </w:r>
      <w:r w:rsidR="00460264" w:rsidRPr="00862391">
        <w:rPr>
          <w:color w:val="384575"/>
        </w:rPr>
        <w:t xml:space="preserve"> o </w:t>
      </w:r>
      <w:r w:rsidRPr="00862391">
        <w:rPr>
          <w:color w:val="384575"/>
        </w:rPr>
        <w:t>podání žádosti</w:t>
      </w:r>
      <w:r w:rsidR="00460264" w:rsidRPr="00862391">
        <w:rPr>
          <w:color w:val="384575"/>
        </w:rPr>
        <w:t xml:space="preserve"> o </w:t>
      </w:r>
      <w:r w:rsidRPr="00862391">
        <w:rPr>
          <w:color w:val="384575"/>
        </w:rPr>
        <w:t>rozhodnutí</w:t>
      </w:r>
      <w:r w:rsidR="00460264" w:rsidRPr="00862391">
        <w:rPr>
          <w:color w:val="384575"/>
        </w:rPr>
        <w:t xml:space="preserve"> o </w:t>
      </w:r>
      <w:r w:rsidRPr="00862391">
        <w:rPr>
          <w:color w:val="384575"/>
        </w:rPr>
        <w:t>předběžné otázce, přičemž může jednat</w:t>
      </w:r>
      <w:r w:rsidR="00460264" w:rsidRPr="00862391">
        <w:rPr>
          <w:color w:val="384575"/>
        </w:rPr>
        <w:t xml:space="preserve"> z </w:t>
      </w:r>
      <w:r w:rsidRPr="00862391">
        <w:rPr>
          <w:color w:val="384575"/>
        </w:rPr>
        <w:t>úřední povinnosti nebo na žádost účastníka řízení. Pokud se vnitrostátní soud rozhodne podat takovou žádost, původní řízení se zastaví do doby, než se</w:t>
      </w:r>
      <w:r w:rsidR="00460264" w:rsidRPr="00862391">
        <w:rPr>
          <w:color w:val="384575"/>
        </w:rPr>
        <w:t xml:space="preserve"> k </w:t>
      </w:r>
      <w:r w:rsidRPr="00862391">
        <w:rPr>
          <w:color w:val="384575"/>
        </w:rPr>
        <w:t>němu vyjádří SDEU. Rozhodnutí ve věci před vyjádřením SDEU by bylo</w:t>
      </w:r>
      <w:r w:rsidR="00460264" w:rsidRPr="00862391">
        <w:rPr>
          <w:color w:val="384575"/>
        </w:rPr>
        <w:t xml:space="preserve"> v </w:t>
      </w:r>
      <w:r w:rsidRPr="00862391">
        <w:rPr>
          <w:color w:val="384575"/>
        </w:rPr>
        <w:t>rozporu se zásadou loajální spolupráce zakotvenou</w:t>
      </w:r>
      <w:r w:rsidR="00460264" w:rsidRPr="00862391">
        <w:rPr>
          <w:color w:val="384575"/>
        </w:rPr>
        <w:t xml:space="preserve"> v čl. </w:t>
      </w:r>
      <w:r w:rsidRPr="00862391">
        <w:rPr>
          <w:color w:val="384575"/>
        </w:rPr>
        <w:t>4 SFEU</w:t>
      </w:r>
      <w:r w:rsidR="00460264" w:rsidRPr="00862391">
        <w:rPr>
          <w:color w:val="384575"/>
        </w:rPr>
        <w:t xml:space="preserve"> a </w:t>
      </w:r>
      <w:r w:rsidRPr="00862391">
        <w:rPr>
          <w:color w:val="384575"/>
        </w:rPr>
        <w:t xml:space="preserve">narušilo by </w:t>
      </w:r>
      <w:proofErr w:type="spellStart"/>
      <w:r w:rsidRPr="00862391">
        <w:rPr>
          <w:i/>
          <w:iCs/>
          <w:color w:val="384575"/>
        </w:rPr>
        <w:t>effet</w:t>
      </w:r>
      <w:proofErr w:type="spellEnd"/>
      <w:r w:rsidRPr="00862391">
        <w:rPr>
          <w:i/>
          <w:iCs/>
          <w:color w:val="384575"/>
        </w:rPr>
        <w:t xml:space="preserve"> </w:t>
      </w:r>
      <w:proofErr w:type="spellStart"/>
      <w:r w:rsidRPr="00862391">
        <w:rPr>
          <w:i/>
          <w:iCs/>
          <w:color w:val="384575"/>
        </w:rPr>
        <w:t>utile</w:t>
      </w:r>
      <w:proofErr w:type="spellEnd"/>
      <w:r w:rsidRPr="00862391">
        <w:rPr>
          <w:color w:val="384575"/>
        </w:rPr>
        <w:t xml:space="preserve"> </w:t>
      </w:r>
      <w:r w:rsidR="00460264" w:rsidRPr="00862391">
        <w:rPr>
          <w:color w:val="384575"/>
        </w:rPr>
        <w:t>čl. </w:t>
      </w:r>
      <w:r w:rsidRPr="00862391">
        <w:rPr>
          <w:color w:val="384575"/>
        </w:rPr>
        <w:t>267 SFEU.</w:t>
      </w:r>
    </w:p>
    <w:p w14:paraId="53FCA389" w14:textId="77777777" w:rsidR="008F1F7C" w:rsidRPr="00862391" w:rsidRDefault="00C25CFD" w:rsidP="00F37B27">
      <w:pPr>
        <w:spacing w:after="120" w:line="276" w:lineRule="auto"/>
        <w:jc w:val="both"/>
        <w:rPr>
          <w:rFonts w:cstheme="minorHAnsi"/>
          <w:color w:val="384575"/>
        </w:rPr>
      </w:pPr>
      <w:r w:rsidRPr="00862391">
        <w:rPr>
          <w:color w:val="384575"/>
        </w:rPr>
        <w:t>SDEU musí žádost prohlásit za přípustnou</w:t>
      </w:r>
      <w:r w:rsidR="00460264" w:rsidRPr="00862391">
        <w:rPr>
          <w:color w:val="384575"/>
        </w:rPr>
        <w:t xml:space="preserve"> a </w:t>
      </w:r>
      <w:r w:rsidRPr="00862391">
        <w:rPr>
          <w:color w:val="384575"/>
        </w:rPr>
        <w:t>v zásadě neposuzuje vhodnost žádosti</w:t>
      </w:r>
      <w:r w:rsidR="00460264" w:rsidRPr="00862391">
        <w:rPr>
          <w:color w:val="384575"/>
        </w:rPr>
        <w:t xml:space="preserve"> o </w:t>
      </w:r>
      <w:r w:rsidRPr="00862391">
        <w:rPr>
          <w:color w:val="384575"/>
        </w:rPr>
        <w:t>rozhodnutí</w:t>
      </w:r>
      <w:r w:rsidR="00460264" w:rsidRPr="00862391">
        <w:rPr>
          <w:color w:val="384575"/>
        </w:rPr>
        <w:t xml:space="preserve"> o </w:t>
      </w:r>
      <w:r w:rsidRPr="00862391">
        <w:rPr>
          <w:color w:val="384575"/>
        </w:rPr>
        <w:t>předběžné otázce. Judikatura SDEU však odmítla rozhodovat</w:t>
      </w:r>
      <w:r w:rsidR="00460264" w:rsidRPr="00862391">
        <w:rPr>
          <w:color w:val="384575"/>
        </w:rPr>
        <w:t xml:space="preserve"> o </w:t>
      </w:r>
      <w:r w:rsidRPr="00862391">
        <w:rPr>
          <w:color w:val="384575"/>
        </w:rPr>
        <w:t>otázkách, které: nejsou vzneseny</w:t>
      </w:r>
      <w:r w:rsidR="00460264" w:rsidRPr="00862391">
        <w:rPr>
          <w:color w:val="384575"/>
        </w:rPr>
        <w:t xml:space="preserve"> v </w:t>
      </w:r>
      <w:r w:rsidRPr="00862391">
        <w:rPr>
          <w:color w:val="384575"/>
        </w:rPr>
        <w:t>rámci souvisejícího soudního sporu; přímo nesouvisejí</w:t>
      </w:r>
      <w:r w:rsidR="00460264" w:rsidRPr="00862391">
        <w:rPr>
          <w:color w:val="384575"/>
        </w:rPr>
        <w:t xml:space="preserve"> s </w:t>
      </w:r>
      <w:r w:rsidRPr="00862391">
        <w:rPr>
          <w:color w:val="384575"/>
        </w:rPr>
        <w:t>hlavním soudním sporem; nejsou řádně odůvodněny. SDEU má diskreční pravomoc změnit pořadí otázek, seskupit je, prohlásit je za nepoužitelné, formulovat je jiným způsobem, odpovědět na otázky, které nebyly položeny, nebo zohlednit ustanovení unijního práva, která nebyla</w:t>
      </w:r>
      <w:r w:rsidR="00460264" w:rsidRPr="00862391">
        <w:rPr>
          <w:color w:val="384575"/>
        </w:rPr>
        <w:t xml:space="preserve"> v </w:t>
      </w:r>
      <w:r w:rsidRPr="00862391">
        <w:rPr>
          <w:color w:val="384575"/>
        </w:rPr>
        <w:t>žádosti uvedena.</w:t>
      </w:r>
    </w:p>
    <w:p w14:paraId="1E1A94DD" w14:textId="77777777" w:rsidR="008F1F7C" w:rsidRPr="00862391" w:rsidRDefault="008F1F7C" w:rsidP="00F37B27">
      <w:pPr>
        <w:spacing w:after="120" w:line="276" w:lineRule="auto"/>
        <w:jc w:val="both"/>
        <w:rPr>
          <w:rFonts w:cstheme="minorHAnsi"/>
          <w:color w:val="384575"/>
        </w:rPr>
      </w:pPr>
      <w:r w:rsidRPr="00862391">
        <w:rPr>
          <w:color w:val="384575"/>
        </w:rPr>
        <w:t>Předběžná rozhodnutí jsou pro soud, který žádost podal, závazná, to znamená, že rozhodnutí, kterým byly zodpovězeny otázky vznesené</w:t>
      </w:r>
      <w:r w:rsidR="00460264" w:rsidRPr="00862391">
        <w:rPr>
          <w:color w:val="384575"/>
        </w:rPr>
        <w:t xml:space="preserve"> v </w:t>
      </w:r>
      <w:r w:rsidRPr="00862391">
        <w:rPr>
          <w:color w:val="384575"/>
        </w:rPr>
        <w:t>žádosti, je pro soud závazné pro rozhodnutí</w:t>
      </w:r>
      <w:r w:rsidR="00460264" w:rsidRPr="00862391">
        <w:rPr>
          <w:color w:val="384575"/>
        </w:rPr>
        <w:t xml:space="preserve"> v </w:t>
      </w:r>
      <w:r w:rsidRPr="00862391">
        <w:rPr>
          <w:color w:val="384575"/>
        </w:rPr>
        <w:t>původním soudním sporu. Rozsah rozhodnutí vydaného</w:t>
      </w:r>
      <w:r w:rsidR="00460264" w:rsidRPr="00862391">
        <w:rPr>
          <w:color w:val="384575"/>
        </w:rPr>
        <w:t xml:space="preserve"> v </w:t>
      </w:r>
      <w:r w:rsidRPr="00862391">
        <w:rPr>
          <w:color w:val="384575"/>
        </w:rPr>
        <w:t>rámci předběžné otázky týkající se výkladu je obecný</w:t>
      </w:r>
      <w:r w:rsidR="00460264" w:rsidRPr="00862391">
        <w:rPr>
          <w:color w:val="384575"/>
        </w:rPr>
        <w:t xml:space="preserve"> a </w:t>
      </w:r>
      <w:r w:rsidRPr="00862391">
        <w:rPr>
          <w:color w:val="384575"/>
        </w:rPr>
        <w:t xml:space="preserve">je závazný pro všechny soudce, kteří projednávají podobné věci. </w:t>
      </w:r>
    </w:p>
    <w:p w14:paraId="7CCDB0CE" w14:textId="77777777" w:rsidR="00662304" w:rsidRDefault="008F1F7C" w:rsidP="00662304">
      <w:pPr>
        <w:spacing w:after="120" w:line="276" w:lineRule="auto"/>
        <w:jc w:val="both"/>
        <w:rPr>
          <w:color w:val="384575"/>
        </w:rPr>
      </w:pPr>
      <w:r w:rsidRPr="00862391">
        <w:rPr>
          <w:color w:val="384575"/>
        </w:rPr>
        <w:lastRenderedPageBreak/>
        <w:t>Rozhodnutí</w:t>
      </w:r>
      <w:r w:rsidR="00460264" w:rsidRPr="00862391">
        <w:rPr>
          <w:color w:val="384575"/>
        </w:rPr>
        <w:t xml:space="preserve"> o </w:t>
      </w:r>
      <w:r w:rsidRPr="00862391">
        <w:rPr>
          <w:color w:val="384575"/>
        </w:rPr>
        <w:t>předběžné otázce týkající se platnosti mají rovněž obecnou působnost,</w:t>
      </w:r>
      <w:r w:rsidR="00460264" w:rsidRPr="00862391">
        <w:rPr>
          <w:color w:val="384575"/>
        </w:rPr>
        <w:t xml:space="preserve"> a </w:t>
      </w:r>
      <w:r w:rsidRPr="00862391">
        <w:rPr>
          <w:color w:val="384575"/>
        </w:rPr>
        <w:t>pokud SDEU prohlásí právní předpis EU za neplatný, vnitrostátní soud jej nepoužije. Nicméně právní předpis zůstává</w:t>
      </w:r>
      <w:r w:rsidR="00460264" w:rsidRPr="00862391">
        <w:rPr>
          <w:color w:val="384575"/>
        </w:rPr>
        <w:t xml:space="preserve"> v </w:t>
      </w:r>
      <w:r w:rsidRPr="00862391">
        <w:rPr>
          <w:color w:val="384575"/>
        </w:rPr>
        <w:t>unijním právním systému zachován, to znamená, že se nezrušuje. Někdy SDEU konstatuje, že údajné důvody neplatnosti nejsou opodstatněné, ačkoli platnost právního předpisu může být následně zpochybněna</w:t>
      </w:r>
      <w:r w:rsidR="00460264" w:rsidRPr="00862391">
        <w:rPr>
          <w:color w:val="384575"/>
        </w:rPr>
        <w:t xml:space="preserve"> z </w:t>
      </w:r>
      <w:r w:rsidRPr="00862391">
        <w:rPr>
          <w:color w:val="384575"/>
        </w:rPr>
        <w:t>jiných důvodů.</w:t>
      </w:r>
      <w:r w:rsidR="00460264" w:rsidRPr="00862391">
        <w:rPr>
          <w:color w:val="384575"/>
        </w:rPr>
        <w:t xml:space="preserve"> V </w:t>
      </w:r>
      <w:r w:rsidRPr="00862391">
        <w:rPr>
          <w:color w:val="384575"/>
        </w:rPr>
        <w:t>každém případě může být právní předpis EU, který není</w:t>
      </w:r>
      <w:r w:rsidR="00460264" w:rsidRPr="00862391">
        <w:rPr>
          <w:color w:val="384575"/>
        </w:rPr>
        <w:t xml:space="preserve"> v </w:t>
      </w:r>
      <w:r w:rsidRPr="00862391">
        <w:rPr>
          <w:color w:val="384575"/>
        </w:rPr>
        <w:t>souladu se základními právy EU</w:t>
      </w:r>
      <w:r w:rsidR="00460264" w:rsidRPr="00862391">
        <w:rPr>
          <w:color w:val="384575"/>
        </w:rPr>
        <w:t xml:space="preserve"> a </w:t>
      </w:r>
      <w:r w:rsidRPr="00862391">
        <w:rPr>
          <w:color w:val="384575"/>
        </w:rPr>
        <w:t>nemůže být vykládán</w:t>
      </w:r>
      <w:r w:rsidR="00460264" w:rsidRPr="00862391">
        <w:rPr>
          <w:color w:val="384575"/>
        </w:rPr>
        <w:t xml:space="preserve"> v </w:t>
      </w:r>
      <w:r w:rsidRPr="00862391">
        <w:rPr>
          <w:color w:val="384575"/>
        </w:rPr>
        <w:t>souladu</w:t>
      </w:r>
      <w:r w:rsidR="00460264" w:rsidRPr="00862391">
        <w:rPr>
          <w:color w:val="384575"/>
        </w:rPr>
        <w:t xml:space="preserve"> s </w:t>
      </w:r>
      <w:r w:rsidRPr="00862391">
        <w:rPr>
          <w:color w:val="384575"/>
        </w:rPr>
        <w:t>nimi, prohlášen za neplatný na základě rozhodnutí Soudního dvora</w:t>
      </w:r>
      <w:r w:rsidR="00460264" w:rsidRPr="00862391">
        <w:rPr>
          <w:color w:val="384575"/>
        </w:rPr>
        <w:t xml:space="preserve"> o </w:t>
      </w:r>
      <w:r w:rsidRPr="00862391">
        <w:rPr>
          <w:color w:val="384575"/>
        </w:rPr>
        <w:t>předběžné otázce (pokud nebyla norma zrušena žalobou na neplatnost).</w:t>
      </w:r>
    </w:p>
    <w:p w14:paraId="2219E9A0" w14:textId="77777777" w:rsidR="00862391" w:rsidRPr="00862391" w:rsidRDefault="00862391" w:rsidP="00662304">
      <w:pPr>
        <w:spacing w:after="120" w:line="276" w:lineRule="auto"/>
        <w:jc w:val="both"/>
        <w:rPr>
          <w:rFonts w:cstheme="minorHAnsi"/>
          <w:color w:val="384575"/>
        </w:rPr>
      </w:pPr>
    </w:p>
    <w:p w14:paraId="7A04DCD2" w14:textId="77777777" w:rsidR="00EC2273" w:rsidRPr="007D56D6" w:rsidRDefault="00EC2273" w:rsidP="00EC2273">
      <w:pPr>
        <w:spacing w:line="276" w:lineRule="auto"/>
        <w:jc w:val="both"/>
        <w:rPr>
          <w:rFonts w:cstheme="minorHAnsi"/>
        </w:rPr>
      </w:pPr>
    </w:p>
    <w:p w14:paraId="27986C96" w14:textId="77777777" w:rsidR="00505929" w:rsidRPr="00C61069" w:rsidRDefault="009A148F" w:rsidP="00C61069">
      <w:pPr>
        <w:pStyle w:val="Odstavecseseznamem"/>
        <w:numPr>
          <w:ilvl w:val="1"/>
          <w:numId w:val="1"/>
        </w:numPr>
        <w:spacing w:after="120" w:line="276" w:lineRule="auto"/>
        <w:ind w:left="567" w:hanging="567"/>
        <w:contextualSpacing w:val="0"/>
        <w:jc w:val="both"/>
        <w:rPr>
          <w:b/>
          <w:color w:val="B6A04C"/>
          <w:sz w:val="32"/>
          <w:szCs w:val="32"/>
        </w:rPr>
      </w:pPr>
      <w:r w:rsidRPr="00C61069">
        <w:rPr>
          <w:b/>
          <w:color w:val="B6A04C"/>
          <w:sz w:val="32"/>
          <w:szCs w:val="32"/>
        </w:rPr>
        <w:tab/>
      </w:r>
      <w:r w:rsidR="00505929" w:rsidRPr="00C61069">
        <w:rPr>
          <w:b/>
          <w:color w:val="B6A04C"/>
          <w:sz w:val="32"/>
          <w:szCs w:val="32"/>
        </w:rPr>
        <w:t>Postavení Listiny ve vnitrostátním právu</w:t>
      </w:r>
    </w:p>
    <w:p w14:paraId="1D8A798E" w14:textId="77777777" w:rsidR="00EC2273" w:rsidRPr="00F766DC" w:rsidRDefault="00EC2273" w:rsidP="00EC2273">
      <w:pPr>
        <w:pStyle w:val="Odstavecseseznamem"/>
        <w:spacing w:line="276" w:lineRule="auto"/>
        <w:ind w:left="360"/>
        <w:jc w:val="both"/>
        <w:rPr>
          <w:rFonts w:cstheme="minorHAnsi"/>
          <w:b/>
          <w:bCs/>
          <w:sz w:val="28"/>
          <w:szCs w:val="28"/>
          <w:lang w:val="en-US"/>
        </w:rPr>
      </w:pPr>
    </w:p>
    <w:p w14:paraId="646605DD" w14:textId="77777777" w:rsidR="00E15CD2" w:rsidRPr="00F766DC" w:rsidRDefault="00E15CD2" w:rsidP="00A12D5C">
      <w:pPr>
        <w:pStyle w:val="Odstavecseseznamem"/>
        <w:numPr>
          <w:ilvl w:val="2"/>
          <w:numId w:val="1"/>
        </w:numPr>
        <w:spacing w:line="276" w:lineRule="auto"/>
        <w:ind w:left="851" w:hanging="851"/>
        <w:jc w:val="both"/>
        <w:rPr>
          <w:rFonts w:cstheme="minorHAnsi"/>
          <w:b/>
          <w:bCs/>
          <w:color w:val="2F55A2"/>
          <w:sz w:val="28"/>
          <w:szCs w:val="28"/>
        </w:rPr>
      </w:pPr>
      <w:r w:rsidRPr="00F766DC">
        <w:rPr>
          <w:b/>
          <w:color w:val="2F55A2"/>
          <w:sz w:val="28"/>
          <w:szCs w:val="28"/>
        </w:rPr>
        <w:t>Česká republika</w:t>
      </w:r>
    </w:p>
    <w:p w14:paraId="4D2B7113" w14:textId="77777777" w:rsidR="00F766DC" w:rsidRPr="00F766DC" w:rsidRDefault="00F766DC" w:rsidP="00F766DC">
      <w:pPr>
        <w:pStyle w:val="Odstavecseseznamem"/>
        <w:spacing w:line="276" w:lineRule="auto"/>
        <w:jc w:val="both"/>
        <w:rPr>
          <w:rFonts w:cstheme="minorHAnsi"/>
          <w:b/>
          <w:bCs/>
          <w:color w:val="2F55A2"/>
          <w:sz w:val="28"/>
          <w:szCs w:val="28"/>
        </w:rPr>
      </w:pPr>
    </w:p>
    <w:p w14:paraId="38FBE1DA" w14:textId="77777777" w:rsidR="00E15CD2" w:rsidRPr="00862391" w:rsidRDefault="00E15CD2" w:rsidP="00F37B27">
      <w:pPr>
        <w:spacing w:after="120" w:line="276" w:lineRule="auto"/>
        <w:jc w:val="both"/>
        <w:rPr>
          <w:rFonts w:cstheme="minorHAnsi"/>
          <w:color w:val="384575"/>
        </w:rPr>
      </w:pPr>
      <w:r w:rsidRPr="00862391">
        <w:rPr>
          <w:color w:val="384575"/>
        </w:rPr>
        <w:t>Jak již bylo uvedeno, jedna</w:t>
      </w:r>
      <w:r w:rsidR="00460264" w:rsidRPr="00862391">
        <w:rPr>
          <w:color w:val="384575"/>
        </w:rPr>
        <w:t xml:space="preserve"> z </w:t>
      </w:r>
      <w:r w:rsidRPr="00862391">
        <w:rPr>
          <w:color w:val="384575"/>
        </w:rPr>
        <w:t>hlavních předností Listiny spočívá</w:t>
      </w:r>
      <w:r w:rsidR="00460264" w:rsidRPr="00862391">
        <w:rPr>
          <w:color w:val="384575"/>
        </w:rPr>
        <w:t xml:space="preserve"> v </w:t>
      </w:r>
      <w:r w:rsidRPr="00862391">
        <w:rPr>
          <w:color w:val="384575"/>
        </w:rPr>
        <w:t>tom, že Listina výslovně</w:t>
      </w:r>
      <w:r w:rsidR="00460264" w:rsidRPr="00862391">
        <w:rPr>
          <w:color w:val="384575"/>
        </w:rPr>
        <w:t xml:space="preserve"> a </w:t>
      </w:r>
      <w:r w:rsidRPr="00862391">
        <w:rPr>
          <w:color w:val="384575"/>
        </w:rPr>
        <w:t>transparentně formuluje práva chráněná</w:t>
      </w:r>
      <w:r w:rsidR="00460264" w:rsidRPr="00862391">
        <w:rPr>
          <w:color w:val="384575"/>
        </w:rPr>
        <w:t xml:space="preserve"> v </w:t>
      </w:r>
      <w:r w:rsidRPr="00862391">
        <w:rPr>
          <w:color w:val="384575"/>
        </w:rPr>
        <w:t>rámci Evropské unie. Současně je třeba mít na paměti, že práva chráněná Listinou jsou výlučně použitelná pouze při „provádění evropského práva“ (k tomu viz článek 51 Listiny)</w:t>
      </w:r>
      <w:r w:rsidR="00460264" w:rsidRPr="00862391">
        <w:rPr>
          <w:color w:val="384575"/>
        </w:rPr>
        <w:t xml:space="preserve"> a </w:t>
      </w:r>
      <w:r w:rsidRPr="00862391">
        <w:rPr>
          <w:color w:val="384575"/>
        </w:rPr>
        <w:t>jako taková je Listina</w:t>
      </w:r>
      <w:r w:rsidR="00460264" w:rsidRPr="00862391">
        <w:rPr>
          <w:color w:val="384575"/>
        </w:rPr>
        <w:t xml:space="preserve"> a </w:t>
      </w:r>
      <w:r w:rsidRPr="00862391">
        <w:rPr>
          <w:color w:val="384575"/>
        </w:rPr>
        <w:t>práva</w:t>
      </w:r>
      <w:r w:rsidR="00460264" w:rsidRPr="00862391">
        <w:rPr>
          <w:color w:val="384575"/>
        </w:rPr>
        <w:t xml:space="preserve"> v </w:t>
      </w:r>
      <w:r w:rsidRPr="00862391">
        <w:rPr>
          <w:color w:val="384575"/>
        </w:rPr>
        <w:t>ní nastíněná závazná pro všechny členské státy</w:t>
      </w:r>
      <w:r w:rsidR="00460264" w:rsidRPr="00862391">
        <w:rPr>
          <w:color w:val="384575"/>
        </w:rPr>
        <w:t xml:space="preserve"> a </w:t>
      </w:r>
      <w:r w:rsidRPr="00862391">
        <w:rPr>
          <w:color w:val="384575"/>
        </w:rPr>
        <w:t>orgány EU.</w:t>
      </w:r>
    </w:p>
    <w:p w14:paraId="3214379F" w14:textId="77777777" w:rsidR="00E15CD2" w:rsidRPr="00862391" w:rsidRDefault="00E15CD2" w:rsidP="00F37B27">
      <w:pPr>
        <w:spacing w:after="120" w:line="276" w:lineRule="auto"/>
        <w:jc w:val="both"/>
        <w:rPr>
          <w:rFonts w:cstheme="minorHAnsi"/>
          <w:color w:val="384575"/>
        </w:rPr>
      </w:pPr>
      <w:r w:rsidRPr="00862391">
        <w:rPr>
          <w:color w:val="384575"/>
        </w:rPr>
        <w:t>Přestože Listina zakotvuje</w:t>
      </w:r>
      <w:r w:rsidR="00460264" w:rsidRPr="00862391">
        <w:rPr>
          <w:color w:val="384575"/>
        </w:rPr>
        <w:t xml:space="preserve"> i </w:t>
      </w:r>
      <w:r w:rsidRPr="00862391">
        <w:rPr>
          <w:color w:val="384575"/>
        </w:rPr>
        <w:t>práva, která dosud nebyla výslovně formulována</w:t>
      </w:r>
      <w:r w:rsidR="00460264" w:rsidRPr="00862391">
        <w:rPr>
          <w:color w:val="384575"/>
        </w:rPr>
        <w:t xml:space="preserve"> v </w:t>
      </w:r>
      <w:r w:rsidRPr="00862391">
        <w:rPr>
          <w:color w:val="384575"/>
        </w:rPr>
        <w:t>jiných nástrojích</w:t>
      </w:r>
      <w:r w:rsidR="00460264" w:rsidRPr="00862391">
        <w:rPr>
          <w:color w:val="384575"/>
        </w:rPr>
        <w:t xml:space="preserve"> v </w:t>
      </w:r>
      <w:r w:rsidRPr="00862391">
        <w:rPr>
          <w:color w:val="384575"/>
        </w:rPr>
        <w:t>oblasti lidských práv,</w:t>
      </w:r>
      <w:r w:rsidR="00460264" w:rsidRPr="00862391">
        <w:rPr>
          <w:color w:val="384575"/>
        </w:rPr>
        <w:t xml:space="preserve"> a </w:t>
      </w:r>
      <w:r w:rsidRPr="00862391">
        <w:rPr>
          <w:color w:val="384575"/>
        </w:rPr>
        <w:t>rozšiřuje působnost některých</w:t>
      </w:r>
      <w:r w:rsidR="00460264" w:rsidRPr="00862391">
        <w:rPr>
          <w:color w:val="384575"/>
        </w:rPr>
        <w:t xml:space="preserve"> z </w:t>
      </w:r>
      <w:r w:rsidRPr="00862391">
        <w:rPr>
          <w:color w:val="384575"/>
        </w:rPr>
        <w:t>těchto práv na oblasti, které zůstaly „nepokryty“ jinými nástroji</w:t>
      </w:r>
      <w:r w:rsidR="00460264" w:rsidRPr="00862391">
        <w:rPr>
          <w:color w:val="384575"/>
        </w:rPr>
        <w:t xml:space="preserve"> v </w:t>
      </w:r>
      <w:r w:rsidRPr="00862391">
        <w:rPr>
          <w:color w:val="384575"/>
        </w:rPr>
        <w:t>oblasti lidských práv, vnitrostátní orgány často zapomínají Listinu zahrnout do svých úvah.</w:t>
      </w:r>
    </w:p>
    <w:p w14:paraId="4CA696EB" w14:textId="77777777" w:rsidR="00E15CD2" w:rsidRPr="00862391" w:rsidRDefault="00E15CD2" w:rsidP="00F37B27">
      <w:pPr>
        <w:spacing w:after="120" w:line="276" w:lineRule="auto"/>
        <w:jc w:val="both"/>
        <w:rPr>
          <w:rFonts w:cstheme="minorHAnsi"/>
          <w:color w:val="384575"/>
        </w:rPr>
      </w:pPr>
      <w:r w:rsidRPr="00862391">
        <w:rPr>
          <w:color w:val="384575"/>
        </w:rPr>
        <w:t>Totéž platí pro region</w:t>
      </w:r>
      <w:r w:rsidR="00460264" w:rsidRPr="00862391">
        <w:rPr>
          <w:color w:val="384575"/>
        </w:rPr>
        <w:t xml:space="preserve"> a </w:t>
      </w:r>
      <w:r w:rsidRPr="00862391">
        <w:rPr>
          <w:color w:val="384575"/>
        </w:rPr>
        <w:t>členské státy střední</w:t>
      </w:r>
      <w:r w:rsidR="00460264" w:rsidRPr="00862391">
        <w:rPr>
          <w:color w:val="384575"/>
        </w:rPr>
        <w:t xml:space="preserve"> a </w:t>
      </w:r>
      <w:r w:rsidRPr="00862391">
        <w:rPr>
          <w:color w:val="384575"/>
        </w:rPr>
        <w:t>východní Evropy, které byly součástí „velkého třesku“</w:t>
      </w:r>
      <w:r w:rsidR="00460264" w:rsidRPr="00862391">
        <w:rPr>
          <w:color w:val="384575"/>
        </w:rPr>
        <w:t xml:space="preserve"> v </w:t>
      </w:r>
      <w:r w:rsidRPr="00862391">
        <w:rPr>
          <w:color w:val="384575"/>
        </w:rPr>
        <w:t>podobě rozšíření Unie před více než 20 lety. Česká republika je toho názorným příkladem: je členským státem EU od roku 2004</w:t>
      </w:r>
      <w:r w:rsidR="00460264" w:rsidRPr="00862391">
        <w:rPr>
          <w:color w:val="384575"/>
        </w:rPr>
        <w:t xml:space="preserve"> a </w:t>
      </w:r>
      <w:r w:rsidRPr="00862391">
        <w:rPr>
          <w:color w:val="384575"/>
        </w:rPr>
        <w:t>má značné zkušenosti se sbližováním svých právních předpisů</w:t>
      </w:r>
      <w:r w:rsidR="00460264" w:rsidRPr="00862391">
        <w:rPr>
          <w:color w:val="384575"/>
        </w:rPr>
        <w:t xml:space="preserve"> s </w:t>
      </w:r>
      <w:r w:rsidRPr="00862391">
        <w:rPr>
          <w:color w:val="384575"/>
        </w:rPr>
        <w:t>unijním právem. Totéž platí pro použití</w:t>
      </w:r>
      <w:r w:rsidR="00460264" w:rsidRPr="00862391">
        <w:rPr>
          <w:color w:val="384575"/>
        </w:rPr>
        <w:t xml:space="preserve"> a </w:t>
      </w:r>
      <w:r w:rsidRPr="00862391">
        <w:rPr>
          <w:color w:val="384575"/>
        </w:rPr>
        <w:t>výklad unijního práva správními</w:t>
      </w:r>
      <w:r w:rsidR="00460264" w:rsidRPr="00862391">
        <w:rPr>
          <w:color w:val="384575"/>
        </w:rPr>
        <w:t xml:space="preserve"> a </w:t>
      </w:r>
      <w:r w:rsidRPr="00862391">
        <w:rPr>
          <w:color w:val="384575"/>
        </w:rPr>
        <w:t>jinými soudy České republiky: všechny tyto soudy mají značné zkušenosti</w:t>
      </w:r>
      <w:r w:rsidR="00460264" w:rsidRPr="00862391">
        <w:rPr>
          <w:color w:val="384575"/>
        </w:rPr>
        <w:t xml:space="preserve"> s </w:t>
      </w:r>
      <w:r w:rsidRPr="00862391">
        <w:rPr>
          <w:color w:val="384575"/>
        </w:rPr>
        <w:t>použitím unijního práva, které má nadto podle Ústavy ČR přednost před vnitrostátními právními předpisy (viz článek 10</w:t>
      </w:r>
      <w:r w:rsidR="00460264" w:rsidRPr="00862391">
        <w:rPr>
          <w:color w:val="384575"/>
        </w:rPr>
        <w:t xml:space="preserve"> a </w:t>
      </w:r>
      <w:r w:rsidRPr="00862391">
        <w:rPr>
          <w:color w:val="384575"/>
        </w:rPr>
        <w:t>článek 10a Ústavy ČR).</w:t>
      </w:r>
    </w:p>
    <w:p w14:paraId="2DF88C24" w14:textId="77777777" w:rsidR="00E15CD2" w:rsidRPr="00862391" w:rsidRDefault="00E15CD2" w:rsidP="00F37B27">
      <w:pPr>
        <w:spacing w:after="120" w:line="276" w:lineRule="auto"/>
        <w:jc w:val="both"/>
        <w:rPr>
          <w:rFonts w:cstheme="minorHAnsi"/>
          <w:color w:val="384575"/>
        </w:rPr>
      </w:pPr>
      <w:r w:rsidRPr="00862391">
        <w:rPr>
          <w:color w:val="384575"/>
        </w:rPr>
        <w:t>Listina je však</w:t>
      </w:r>
      <w:r w:rsidR="00460264" w:rsidRPr="00862391">
        <w:rPr>
          <w:color w:val="384575"/>
        </w:rPr>
        <w:t xml:space="preserve"> v </w:t>
      </w:r>
      <w:r w:rsidRPr="00862391">
        <w:rPr>
          <w:color w:val="384575"/>
        </w:rPr>
        <w:t>mnoha případech nadále přehlížena. Proč</w:t>
      </w:r>
      <w:r w:rsidR="00460264" w:rsidRPr="00862391">
        <w:rPr>
          <w:color w:val="384575"/>
        </w:rPr>
        <w:t xml:space="preserve"> k </w:t>
      </w:r>
      <w:r w:rsidRPr="00862391">
        <w:rPr>
          <w:color w:val="384575"/>
        </w:rPr>
        <w:t>tomu dochází? Zajímavým případem, který poukazuje na potenciál Listiny, je probíhající soudní řízení</w:t>
      </w:r>
      <w:r w:rsidR="00460264" w:rsidRPr="00862391">
        <w:rPr>
          <w:color w:val="384575"/>
        </w:rPr>
        <w:t xml:space="preserve"> o </w:t>
      </w:r>
      <w:r w:rsidRPr="00862391">
        <w:rPr>
          <w:color w:val="384575"/>
        </w:rPr>
        <w:t>udělení dočasné ochrany. To se týká občanů Ukrajiny, kteří po 24. únoru 2022 hledali útočiště</w:t>
      </w:r>
      <w:r w:rsidR="00460264" w:rsidRPr="00862391">
        <w:rPr>
          <w:color w:val="384575"/>
        </w:rPr>
        <w:t xml:space="preserve"> v </w:t>
      </w:r>
      <w:r w:rsidRPr="00862391">
        <w:rPr>
          <w:color w:val="384575"/>
        </w:rPr>
        <w:t xml:space="preserve">členských státech EU, aby unikli ruské agresi ve své vlasti. </w:t>
      </w:r>
    </w:p>
    <w:p w14:paraId="33250198" w14:textId="77777777" w:rsidR="00E15CD2" w:rsidRPr="00862391" w:rsidRDefault="00E15CD2" w:rsidP="00F37B27">
      <w:pPr>
        <w:spacing w:after="120" w:line="276" w:lineRule="auto"/>
        <w:jc w:val="both"/>
        <w:rPr>
          <w:rFonts w:cstheme="minorHAnsi"/>
          <w:color w:val="384575"/>
        </w:rPr>
      </w:pPr>
      <w:r w:rsidRPr="00862391">
        <w:rPr>
          <w:color w:val="384575"/>
        </w:rPr>
        <w:t>Dočasná ochrana je výjimečný druh ochrany</w:t>
      </w:r>
      <w:r w:rsidR="00460264" w:rsidRPr="00862391">
        <w:rPr>
          <w:color w:val="384575"/>
        </w:rPr>
        <w:t xml:space="preserve"> a </w:t>
      </w:r>
      <w:r w:rsidRPr="00862391">
        <w:rPr>
          <w:color w:val="384575"/>
        </w:rPr>
        <w:t>řízení</w:t>
      </w:r>
      <w:r w:rsidR="00460264" w:rsidRPr="00862391">
        <w:rPr>
          <w:color w:val="384575"/>
        </w:rPr>
        <w:t xml:space="preserve"> o </w:t>
      </w:r>
      <w:r w:rsidRPr="00862391">
        <w:rPr>
          <w:color w:val="384575"/>
        </w:rPr>
        <w:t xml:space="preserve">skupinové ochraně </w:t>
      </w:r>
      <w:proofErr w:type="spellStart"/>
      <w:r w:rsidRPr="00862391">
        <w:rPr>
          <w:i/>
          <w:iCs/>
          <w:color w:val="384575"/>
        </w:rPr>
        <w:t>sui</w:t>
      </w:r>
      <w:proofErr w:type="spellEnd"/>
      <w:r w:rsidRPr="00862391">
        <w:rPr>
          <w:i/>
          <w:iCs/>
          <w:color w:val="384575"/>
        </w:rPr>
        <w:t xml:space="preserve"> generis,</w:t>
      </w:r>
      <w:r w:rsidRPr="00862391">
        <w:rPr>
          <w:color w:val="384575"/>
        </w:rPr>
        <w:t xml:space="preserve"> které</w:t>
      </w:r>
      <w:r w:rsidR="00460264" w:rsidRPr="00862391">
        <w:rPr>
          <w:color w:val="384575"/>
        </w:rPr>
        <w:t xml:space="preserve"> v </w:t>
      </w:r>
      <w:r w:rsidRPr="00862391">
        <w:rPr>
          <w:color w:val="384575"/>
        </w:rPr>
        <w:t>unijním právu upravuje směrnice</w:t>
      </w:r>
      <w:r w:rsidR="00460264" w:rsidRPr="00862391">
        <w:rPr>
          <w:color w:val="384575"/>
        </w:rPr>
        <w:t xml:space="preserve"> o </w:t>
      </w:r>
      <w:r w:rsidRPr="00862391">
        <w:rPr>
          <w:color w:val="384575"/>
        </w:rPr>
        <w:t>dočasné ochraně</w:t>
      </w:r>
      <w:r w:rsidR="00460264" w:rsidRPr="00862391">
        <w:rPr>
          <w:color w:val="384575"/>
        </w:rPr>
        <w:t xml:space="preserve"> z </w:t>
      </w:r>
      <w:r w:rsidRPr="00862391">
        <w:rPr>
          <w:color w:val="384575"/>
        </w:rPr>
        <w:t>roku 2001 (směrnice 2001/55/ES). Při poskytování dočasné ochrany členské státy provádějí unijní právo, díky čemuž lze Listinu použít (viz článek 51 Listiny</w:t>
      </w:r>
      <w:r w:rsidR="00460264" w:rsidRPr="00862391">
        <w:rPr>
          <w:color w:val="384575"/>
        </w:rPr>
        <w:t xml:space="preserve"> a </w:t>
      </w:r>
      <w:r w:rsidRPr="00862391">
        <w:rPr>
          <w:color w:val="384575"/>
        </w:rPr>
        <w:t>pravidla týkající se jeho působnosti).</w:t>
      </w:r>
    </w:p>
    <w:p w14:paraId="2DBAE6C2" w14:textId="77777777" w:rsidR="00E15CD2" w:rsidRPr="00862391" w:rsidRDefault="00E15CD2" w:rsidP="00F37B27">
      <w:pPr>
        <w:spacing w:after="120" w:line="276" w:lineRule="auto"/>
        <w:jc w:val="both"/>
        <w:rPr>
          <w:rFonts w:cstheme="minorHAnsi"/>
          <w:color w:val="384575"/>
        </w:rPr>
      </w:pPr>
      <w:r w:rsidRPr="00862391">
        <w:rPr>
          <w:color w:val="384575"/>
        </w:rPr>
        <w:lastRenderedPageBreak/>
        <w:t>Jádrem probíhajícího sporu před českými soudy je právní posouzení zvláštního aspektu české právní úpravy. Ten se týká ustanovení, které neúspěšným žadatelům</w:t>
      </w:r>
      <w:r w:rsidR="00460264" w:rsidRPr="00862391">
        <w:rPr>
          <w:color w:val="384575"/>
        </w:rPr>
        <w:t xml:space="preserve"> o </w:t>
      </w:r>
      <w:r w:rsidRPr="00862391">
        <w:rPr>
          <w:color w:val="384575"/>
        </w:rPr>
        <w:t>dočasnou ochranu zakazuje napadnout zamítavé rozhodnutí</w:t>
      </w:r>
      <w:r w:rsidR="00460264" w:rsidRPr="00862391">
        <w:rPr>
          <w:color w:val="384575"/>
        </w:rPr>
        <w:t xml:space="preserve"> u </w:t>
      </w:r>
      <w:r w:rsidRPr="00862391">
        <w:rPr>
          <w:color w:val="384575"/>
        </w:rPr>
        <w:t>soudu. Napadnout zamítnutí své žádosti nemohou zejména osoby, které požádaly</w:t>
      </w:r>
      <w:r w:rsidR="00460264" w:rsidRPr="00862391">
        <w:rPr>
          <w:color w:val="384575"/>
        </w:rPr>
        <w:t xml:space="preserve"> o </w:t>
      </w:r>
      <w:r w:rsidRPr="00862391">
        <w:rPr>
          <w:color w:val="384575"/>
        </w:rPr>
        <w:t>dočasnou ochranu nebo ji obdržely</w:t>
      </w:r>
      <w:r w:rsidR="00460264" w:rsidRPr="00862391">
        <w:rPr>
          <w:color w:val="384575"/>
        </w:rPr>
        <w:t xml:space="preserve"> v </w:t>
      </w:r>
      <w:r w:rsidRPr="00862391">
        <w:rPr>
          <w:color w:val="384575"/>
        </w:rPr>
        <w:t>jiném členském státě EU</w:t>
      </w:r>
      <w:r w:rsidR="00460264" w:rsidRPr="00862391">
        <w:rPr>
          <w:color w:val="384575"/>
        </w:rPr>
        <w:t xml:space="preserve"> a </w:t>
      </w:r>
      <w:r w:rsidRPr="00862391">
        <w:rPr>
          <w:color w:val="384575"/>
        </w:rPr>
        <w:t>v České republice neuspěly. Namísto toho české právní předpisy považují jejich žádosti za nepřípustné</w:t>
      </w:r>
      <w:r w:rsidR="00460264" w:rsidRPr="00862391">
        <w:rPr>
          <w:color w:val="384575"/>
        </w:rPr>
        <w:t xml:space="preserve"> a </w:t>
      </w:r>
      <w:r w:rsidRPr="00862391">
        <w:rPr>
          <w:color w:val="384575"/>
        </w:rPr>
        <w:t xml:space="preserve">žadatelům jsou poskytnuty pouze ústní důvody zamítnutí. </w:t>
      </w:r>
    </w:p>
    <w:p w14:paraId="76335F57" w14:textId="77777777" w:rsidR="00E15CD2" w:rsidRPr="00862391" w:rsidRDefault="00E15CD2" w:rsidP="00F37B27">
      <w:pPr>
        <w:spacing w:after="120" w:line="276" w:lineRule="auto"/>
        <w:jc w:val="both"/>
        <w:rPr>
          <w:rFonts w:cstheme="minorHAnsi"/>
          <w:color w:val="384575"/>
        </w:rPr>
      </w:pPr>
      <w:r w:rsidRPr="00862391">
        <w:rPr>
          <w:color w:val="384575"/>
        </w:rPr>
        <w:t>Český režim dočasné ochrany vyvolává</w:t>
      </w:r>
      <w:r w:rsidR="00460264" w:rsidRPr="00862391">
        <w:rPr>
          <w:color w:val="384575"/>
        </w:rPr>
        <w:t xml:space="preserve"> v </w:t>
      </w:r>
      <w:r w:rsidRPr="00862391">
        <w:rPr>
          <w:color w:val="384575"/>
        </w:rPr>
        <w:t>tomto ohledu</w:t>
      </w:r>
      <w:r w:rsidR="00460264" w:rsidRPr="00862391">
        <w:rPr>
          <w:color w:val="384575"/>
        </w:rPr>
        <w:t xml:space="preserve"> i </w:t>
      </w:r>
      <w:r w:rsidRPr="00862391">
        <w:rPr>
          <w:color w:val="384575"/>
        </w:rPr>
        <w:t>nadále řadu právních pochybností</w:t>
      </w:r>
      <w:r w:rsidR="00460264" w:rsidRPr="00862391">
        <w:rPr>
          <w:color w:val="384575"/>
        </w:rPr>
        <w:t xml:space="preserve"> a </w:t>
      </w:r>
      <w:r w:rsidRPr="00862391">
        <w:rPr>
          <w:color w:val="384575"/>
        </w:rPr>
        <w:t>výrazně ovlivňuje žádosti mnoha ukrajinských občanů, kterým dočasná ochrana nebyla udělena. Při pohledu na ustanovení článku 29 směrnice</w:t>
      </w:r>
      <w:r w:rsidR="00460264" w:rsidRPr="00862391">
        <w:rPr>
          <w:color w:val="384575"/>
        </w:rPr>
        <w:t xml:space="preserve"> o </w:t>
      </w:r>
      <w:r w:rsidRPr="00862391">
        <w:rPr>
          <w:color w:val="384575"/>
        </w:rPr>
        <w:t>dočasné ochraně, který hovoří</w:t>
      </w:r>
      <w:r w:rsidR="00460264" w:rsidRPr="00862391">
        <w:rPr>
          <w:color w:val="384575"/>
        </w:rPr>
        <w:t xml:space="preserve"> o </w:t>
      </w:r>
      <w:r w:rsidRPr="00862391">
        <w:rPr>
          <w:color w:val="384575"/>
        </w:rPr>
        <w:t>právu osob vyloučených</w:t>
      </w:r>
      <w:r w:rsidR="00460264" w:rsidRPr="00862391">
        <w:rPr>
          <w:color w:val="384575"/>
        </w:rPr>
        <w:t xml:space="preserve"> z </w:t>
      </w:r>
      <w:r w:rsidRPr="00862391">
        <w:rPr>
          <w:color w:val="384575"/>
        </w:rPr>
        <w:t>poskytnutí dočasné ochrany takové rozhodnutí podat opravný prostředek, se zdá, že tato část české právní úpravy je</w:t>
      </w:r>
      <w:r w:rsidR="00460264" w:rsidRPr="00862391">
        <w:rPr>
          <w:color w:val="384575"/>
        </w:rPr>
        <w:t xml:space="preserve"> v </w:t>
      </w:r>
      <w:r w:rsidRPr="00862391">
        <w:rPr>
          <w:color w:val="384575"/>
        </w:rPr>
        <w:t>přímém rozporu</w:t>
      </w:r>
      <w:r w:rsidR="00460264" w:rsidRPr="00862391">
        <w:rPr>
          <w:color w:val="384575"/>
        </w:rPr>
        <w:t xml:space="preserve"> s </w:t>
      </w:r>
      <w:r w:rsidRPr="00862391">
        <w:rPr>
          <w:color w:val="384575"/>
        </w:rPr>
        <w:t>unijní směrnicí.</w:t>
      </w:r>
    </w:p>
    <w:p w14:paraId="2BDD75A8" w14:textId="77777777" w:rsidR="00E15CD2" w:rsidRPr="00862391" w:rsidRDefault="00E15CD2" w:rsidP="00F37B27">
      <w:pPr>
        <w:spacing w:after="120" w:line="276" w:lineRule="auto"/>
        <w:jc w:val="both"/>
        <w:rPr>
          <w:rFonts w:cstheme="minorHAnsi"/>
          <w:color w:val="384575"/>
        </w:rPr>
      </w:pPr>
      <w:r w:rsidRPr="00862391">
        <w:rPr>
          <w:color w:val="384575"/>
        </w:rPr>
        <w:t>Není tedy nijak překvapivé, že Nejvyšší správní soud České republiky neprodleně přezkoumal právní soulad tohoto vyloučení soudního přezkumu. Ve svém úvodním rozhodnutí</w:t>
      </w:r>
      <w:r w:rsidR="00460264" w:rsidRPr="00862391">
        <w:rPr>
          <w:color w:val="384575"/>
        </w:rPr>
        <w:t xml:space="preserve"> k </w:t>
      </w:r>
      <w:r w:rsidRPr="00862391">
        <w:rPr>
          <w:color w:val="384575"/>
        </w:rPr>
        <w:t>otázce dočasné ochrany dospěl Nejvyšší správní soud</w:t>
      </w:r>
      <w:r w:rsidR="00460264" w:rsidRPr="00862391">
        <w:rPr>
          <w:color w:val="384575"/>
        </w:rPr>
        <w:t xml:space="preserve"> k </w:t>
      </w:r>
      <w:r w:rsidRPr="00862391">
        <w:rPr>
          <w:color w:val="384575"/>
        </w:rPr>
        <w:t>závěru, že česká právní úprava je</w:t>
      </w:r>
      <w:r w:rsidR="00460264" w:rsidRPr="00862391">
        <w:rPr>
          <w:color w:val="384575"/>
        </w:rPr>
        <w:t xml:space="preserve"> v </w:t>
      </w:r>
      <w:r w:rsidRPr="00862391">
        <w:rPr>
          <w:color w:val="384575"/>
        </w:rPr>
        <w:t>souladu</w:t>
      </w:r>
      <w:r w:rsidR="00460264" w:rsidRPr="00862391">
        <w:rPr>
          <w:color w:val="384575"/>
        </w:rPr>
        <w:t xml:space="preserve"> s </w:t>
      </w:r>
      <w:r w:rsidRPr="00862391">
        <w:rPr>
          <w:color w:val="384575"/>
        </w:rPr>
        <w:t>českou Listinou základních práv</w:t>
      </w:r>
      <w:r w:rsidR="00460264" w:rsidRPr="00862391">
        <w:rPr>
          <w:color w:val="384575"/>
        </w:rPr>
        <w:t xml:space="preserve"> a </w:t>
      </w:r>
      <w:r w:rsidRPr="00862391">
        <w:rPr>
          <w:color w:val="384575"/>
        </w:rPr>
        <w:t>svobod. Nicméně tento rozsudek nepřesvědčil nejen praktikující advokáty, ale ani ostatní soudy. Proč se to nepodařilo?</w:t>
      </w:r>
    </w:p>
    <w:p w14:paraId="69F77AFB" w14:textId="77777777" w:rsidR="00E15CD2" w:rsidRPr="00862391" w:rsidRDefault="00E15CD2" w:rsidP="00F37B27">
      <w:pPr>
        <w:spacing w:after="120" w:line="276" w:lineRule="auto"/>
        <w:jc w:val="both"/>
        <w:rPr>
          <w:rFonts w:cstheme="minorHAnsi"/>
          <w:color w:val="384575"/>
        </w:rPr>
      </w:pPr>
      <w:r w:rsidRPr="00862391">
        <w:rPr>
          <w:color w:val="384575"/>
        </w:rPr>
        <w:t>Vzhledem</w:t>
      </w:r>
      <w:r w:rsidR="00460264" w:rsidRPr="00862391">
        <w:rPr>
          <w:color w:val="384575"/>
        </w:rPr>
        <w:t xml:space="preserve"> k </w:t>
      </w:r>
      <w:r w:rsidRPr="00862391">
        <w:rPr>
          <w:color w:val="384575"/>
        </w:rPr>
        <w:t>tomu, že</w:t>
      </w:r>
      <w:r w:rsidR="00460264" w:rsidRPr="00862391">
        <w:rPr>
          <w:color w:val="384575"/>
        </w:rPr>
        <w:t xml:space="preserve"> v </w:t>
      </w:r>
      <w:r w:rsidRPr="00862391">
        <w:rPr>
          <w:color w:val="384575"/>
        </w:rPr>
        <w:t>rozsudku Nejvyššího správního soudu chybělo jakékoli posouzení české dočasné ochrany</w:t>
      </w:r>
      <w:r w:rsidR="00460264" w:rsidRPr="00862391">
        <w:rPr>
          <w:color w:val="384575"/>
        </w:rPr>
        <w:t xml:space="preserve"> z </w:t>
      </w:r>
      <w:r w:rsidRPr="00862391">
        <w:rPr>
          <w:color w:val="384575"/>
        </w:rPr>
        <w:t>hlediska Listiny, nebyl</w:t>
      </w:r>
      <w:r w:rsidR="00460264" w:rsidRPr="00862391">
        <w:rPr>
          <w:color w:val="384575"/>
        </w:rPr>
        <w:t xml:space="preserve"> v </w:t>
      </w:r>
      <w:r w:rsidRPr="00862391">
        <w:rPr>
          <w:color w:val="384575"/>
        </w:rPr>
        <w:t>něm prakticky vůbec zmíněn unijní rozměr. Je důležité upozornit na následující: závěry Nejvyššího správního soudu</w:t>
      </w:r>
      <w:r w:rsidR="00460264" w:rsidRPr="00862391">
        <w:rPr>
          <w:color w:val="384575"/>
        </w:rPr>
        <w:t xml:space="preserve"> v </w:t>
      </w:r>
      <w:r w:rsidRPr="00862391">
        <w:rPr>
          <w:color w:val="384575"/>
        </w:rPr>
        <w:t>jeho rozsudcích jsou nižšími správními soudy obecně respektovány</w:t>
      </w:r>
      <w:r w:rsidR="00460264" w:rsidRPr="00862391">
        <w:rPr>
          <w:color w:val="384575"/>
        </w:rPr>
        <w:t xml:space="preserve"> a </w:t>
      </w:r>
      <w:r w:rsidRPr="00862391">
        <w:rPr>
          <w:color w:val="384575"/>
        </w:rPr>
        <w:t>dodržovány.</w:t>
      </w:r>
      <w:r w:rsidR="00460264" w:rsidRPr="00862391">
        <w:rPr>
          <w:color w:val="384575"/>
        </w:rPr>
        <w:t xml:space="preserve"> V </w:t>
      </w:r>
      <w:r w:rsidRPr="00862391">
        <w:rPr>
          <w:color w:val="384575"/>
        </w:rPr>
        <w:t>tomto případě však nebyly.</w:t>
      </w:r>
    </w:p>
    <w:p w14:paraId="5635DDED" w14:textId="77777777" w:rsidR="00E15CD2" w:rsidRPr="00862391" w:rsidRDefault="00E15CD2" w:rsidP="00F37B27">
      <w:pPr>
        <w:spacing w:after="120" w:line="276" w:lineRule="auto"/>
        <w:jc w:val="both"/>
        <w:rPr>
          <w:rFonts w:cstheme="minorHAnsi"/>
          <w:color w:val="384575"/>
        </w:rPr>
      </w:pPr>
      <w:r w:rsidRPr="00862391">
        <w:rPr>
          <w:color w:val="384575"/>
        </w:rPr>
        <w:t>Nižší soudy uspořádaly proti rozsudku Nejvyššího správního soudu „vzpouru“. Tyto soudy se výše uvedeným rozsudkem odmítly řídit</w:t>
      </w:r>
      <w:r w:rsidR="00460264" w:rsidRPr="00862391">
        <w:rPr>
          <w:color w:val="384575"/>
        </w:rPr>
        <w:t xml:space="preserve"> v </w:t>
      </w:r>
      <w:r w:rsidRPr="00862391">
        <w:rPr>
          <w:color w:val="384575"/>
        </w:rPr>
        <w:t>jiných obdobných případech</w:t>
      </w:r>
      <w:r w:rsidR="00460264" w:rsidRPr="00862391">
        <w:rPr>
          <w:color w:val="384575"/>
        </w:rPr>
        <w:t xml:space="preserve"> a </w:t>
      </w:r>
      <w:r w:rsidRPr="00862391">
        <w:rPr>
          <w:color w:val="384575"/>
        </w:rPr>
        <w:t>samy poukázaly na to, že Nejvyšší správní soud nezohlednil ustanovení Listiny. Tyto nižší soudy rovněž zdůraznily význam Listiny</w:t>
      </w:r>
      <w:r w:rsidR="00460264" w:rsidRPr="00862391">
        <w:rPr>
          <w:color w:val="384575"/>
        </w:rPr>
        <w:t xml:space="preserve"> a </w:t>
      </w:r>
      <w:r w:rsidRPr="00862391">
        <w:rPr>
          <w:color w:val="384575"/>
        </w:rPr>
        <w:t>jejího článku 47, který stanoví, že každý, jehož práva</w:t>
      </w:r>
      <w:r w:rsidR="00460264" w:rsidRPr="00862391">
        <w:rPr>
          <w:color w:val="384575"/>
        </w:rPr>
        <w:t xml:space="preserve"> a </w:t>
      </w:r>
      <w:r w:rsidRPr="00862391">
        <w:rPr>
          <w:color w:val="384575"/>
        </w:rPr>
        <w:t>svobody zaručené právem Unie byly porušeny, má právo na účinné prostředky nápravy před nestranným soudem.</w:t>
      </w:r>
    </w:p>
    <w:p w14:paraId="6B8FB8C4" w14:textId="77777777" w:rsidR="00E15CD2" w:rsidRPr="00862391" w:rsidRDefault="00E15CD2" w:rsidP="00F37B27">
      <w:pPr>
        <w:spacing w:after="120" w:line="276" w:lineRule="auto"/>
        <w:jc w:val="both"/>
        <w:rPr>
          <w:rFonts w:cstheme="minorHAnsi"/>
          <w:color w:val="384575"/>
        </w:rPr>
      </w:pPr>
      <w:r w:rsidRPr="00862391">
        <w:rPr>
          <w:color w:val="384575"/>
        </w:rPr>
        <w:t xml:space="preserve">Nižší správní soudy rovněž odkázaly na rozsudek SDEU ve věci </w:t>
      </w:r>
      <w:proofErr w:type="spellStart"/>
      <w:r w:rsidRPr="00862391">
        <w:rPr>
          <w:i/>
          <w:color w:val="384575"/>
        </w:rPr>
        <w:t>Soufiane</w:t>
      </w:r>
      <w:proofErr w:type="spellEnd"/>
      <w:r w:rsidRPr="00862391">
        <w:rPr>
          <w:i/>
          <w:color w:val="384575"/>
        </w:rPr>
        <w:t xml:space="preserve"> El Hassani proti </w:t>
      </w:r>
      <w:proofErr w:type="spellStart"/>
      <w:r w:rsidRPr="00862391">
        <w:rPr>
          <w:i/>
          <w:color w:val="384575"/>
        </w:rPr>
        <w:t>Minister</w:t>
      </w:r>
      <w:proofErr w:type="spellEnd"/>
      <w:r w:rsidRPr="00862391">
        <w:rPr>
          <w:i/>
          <w:color w:val="384575"/>
        </w:rPr>
        <w:t xml:space="preserve"> </w:t>
      </w:r>
      <w:proofErr w:type="spellStart"/>
      <w:r w:rsidRPr="00862391">
        <w:rPr>
          <w:i/>
          <w:color w:val="384575"/>
        </w:rPr>
        <w:t>Spraw</w:t>
      </w:r>
      <w:proofErr w:type="spellEnd"/>
      <w:r w:rsidRPr="00862391">
        <w:rPr>
          <w:i/>
          <w:color w:val="384575"/>
        </w:rPr>
        <w:t xml:space="preserve"> </w:t>
      </w:r>
      <w:proofErr w:type="spellStart"/>
      <w:r w:rsidRPr="00862391">
        <w:rPr>
          <w:i/>
          <w:color w:val="384575"/>
        </w:rPr>
        <w:t>Zagranicznych</w:t>
      </w:r>
      <w:proofErr w:type="spellEnd"/>
      <w:r w:rsidRPr="00862391">
        <w:rPr>
          <w:color w:val="384575"/>
        </w:rPr>
        <w:t xml:space="preserve"> (C-403/16),</w:t>
      </w:r>
      <w:r w:rsidR="00460264" w:rsidRPr="00862391">
        <w:rPr>
          <w:color w:val="384575"/>
        </w:rPr>
        <w:t xml:space="preserve"> v </w:t>
      </w:r>
      <w:r w:rsidRPr="00862391">
        <w:rPr>
          <w:color w:val="384575"/>
        </w:rPr>
        <w:t>němž SDEU</w:t>
      </w:r>
      <w:r w:rsidR="00460264" w:rsidRPr="00862391">
        <w:rPr>
          <w:color w:val="384575"/>
        </w:rPr>
        <w:t xml:space="preserve"> s </w:t>
      </w:r>
      <w:r w:rsidRPr="00862391">
        <w:rPr>
          <w:color w:val="384575"/>
        </w:rPr>
        <w:t>odkazem na článek 47 Listiny stanovil povinnost členských států umožnit žadatelům</w:t>
      </w:r>
      <w:r w:rsidR="00460264" w:rsidRPr="00862391">
        <w:rPr>
          <w:color w:val="384575"/>
        </w:rPr>
        <w:t xml:space="preserve"> o </w:t>
      </w:r>
      <w:r w:rsidRPr="00862391">
        <w:rPr>
          <w:color w:val="384575"/>
        </w:rPr>
        <w:t>krátkodobá víza přístup</w:t>
      </w:r>
      <w:r w:rsidR="00460264" w:rsidRPr="00862391">
        <w:rPr>
          <w:color w:val="384575"/>
        </w:rPr>
        <w:t xml:space="preserve"> k </w:t>
      </w:r>
      <w:r w:rsidRPr="00862391">
        <w:rPr>
          <w:color w:val="384575"/>
        </w:rPr>
        <w:t>soudním prostředkům nápravy.</w:t>
      </w:r>
    </w:p>
    <w:p w14:paraId="03B03815" w14:textId="77777777" w:rsidR="00E15CD2" w:rsidRPr="00862391" w:rsidRDefault="00E15CD2" w:rsidP="00F37B27">
      <w:pPr>
        <w:spacing w:after="120" w:line="276" w:lineRule="auto"/>
        <w:jc w:val="both"/>
        <w:rPr>
          <w:rFonts w:cstheme="minorHAnsi"/>
          <w:color w:val="384575"/>
        </w:rPr>
      </w:pPr>
      <w:r w:rsidRPr="00862391">
        <w:rPr>
          <w:color w:val="384575"/>
        </w:rPr>
        <w:t>Výsledkem tohoto případu je, že správní soudy začaly věc posuzovat</w:t>
      </w:r>
      <w:r w:rsidR="00460264" w:rsidRPr="00862391">
        <w:rPr>
          <w:color w:val="384575"/>
        </w:rPr>
        <w:t xml:space="preserve"> v </w:t>
      </w:r>
      <w:r w:rsidRPr="00862391">
        <w:rPr>
          <w:color w:val="384575"/>
        </w:rPr>
        <w:t>souvislosti</w:t>
      </w:r>
      <w:r w:rsidR="00460264" w:rsidRPr="00862391">
        <w:rPr>
          <w:color w:val="384575"/>
        </w:rPr>
        <w:t xml:space="preserve"> s </w:t>
      </w:r>
      <w:r w:rsidRPr="00862391">
        <w:rPr>
          <w:color w:val="384575"/>
        </w:rPr>
        <w:t>Listinou</w:t>
      </w:r>
      <w:r w:rsidR="00460264" w:rsidRPr="00862391">
        <w:rPr>
          <w:color w:val="384575"/>
        </w:rPr>
        <w:t xml:space="preserve"> a </w:t>
      </w:r>
      <w:r w:rsidRPr="00862391">
        <w:rPr>
          <w:color w:val="384575"/>
        </w:rPr>
        <w:t>jejím článkem 47. Tento článek posloužil jako právní základ pro závěry soudů, že české provedení směrnice</w:t>
      </w:r>
      <w:r w:rsidR="00460264" w:rsidRPr="00862391">
        <w:rPr>
          <w:color w:val="384575"/>
        </w:rPr>
        <w:t xml:space="preserve"> o </w:t>
      </w:r>
      <w:r w:rsidRPr="00862391">
        <w:rPr>
          <w:color w:val="384575"/>
        </w:rPr>
        <w:t>dočasné ochraně je</w:t>
      </w:r>
      <w:r w:rsidR="00460264" w:rsidRPr="00862391">
        <w:rPr>
          <w:color w:val="384575"/>
        </w:rPr>
        <w:t xml:space="preserve"> v </w:t>
      </w:r>
      <w:r w:rsidRPr="00862391">
        <w:rPr>
          <w:color w:val="384575"/>
        </w:rPr>
        <w:t>rozporu</w:t>
      </w:r>
      <w:r w:rsidR="00460264" w:rsidRPr="00862391">
        <w:rPr>
          <w:color w:val="384575"/>
        </w:rPr>
        <w:t xml:space="preserve"> s </w:t>
      </w:r>
      <w:r w:rsidRPr="00862391">
        <w:rPr>
          <w:color w:val="384575"/>
        </w:rPr>
        <w:t>unijním právem,</w:t>
      </w:r>
      <w:r w:rsidR="00460264" w:rsidRPr="00862391">
        <w:rPr>
          <w:color w:val="384575"/>
        </w:rPr>
        <w:t xml:space="preserve"> a </w:t>
      </w:r>
      <w:r w:rsidRPr="00862391">
        <w:rPr>
          <w:color w:val="384575"/>
        </w:rPr>
        <w:t>tudíž porušuje</w:t>
      </w:r>
      <w:r w:rsidR="00460264" w:rsidRPr="00862391">
        <w:rPr>
          <w:color w:val="384575"/>
        </w:rPr>
        <w:t xml:space="preserve"> i </w:t>
      </w:r>
      <w:r w:rsidRPr="00862391">
        <w:rPr>
          <w:color w:val="384575"/>
        </w:rPr>
        <w:t>závazky České republiky. Nakonec se věc vrátila</w:t>
      </w:r>
      <w:r w:rsidR="00460264" w:rsidRPr="00862391">
        <w:rPr>
          <w:color w:val="384575"/>
        </w:rPr>
        <w:t xml:space="preserve"> k </w:t>
      </w:r>
      <w:r w:rsidRPr="00862391">
        <w:rPr>
          <w:color w:val="384575"/>
        </w:rPr>
        <w:t>Nejvyššímu správnímu soudu, který přehodnotil své předchozí závěry. Tentokrát soud své nové posouzení založil na právech chráněných Listinou.</w:t>
      </w:r>
    </w:p>
    <w:p w14:paraId="1A64414B" w14:textId="77777777" w:rsidR="00E15CD2" w:rsidRPr="00862391" w:rsidRDefault="00E15CD2" w:rsidP="00F37B27">
      <w:pPr>
        <w:spacing w:after="120" w:line="276" w:lineRule="auto"/>
        <w:jc w:val="both"/>
        <w:rPr>
          <w:rFonts w:cstheme="minorHAnsi"/>
          <w:color w:val="384575"/>
        </w:rPr>
      </w:pPr>
      <w:r w:rsidRPr="00862391">
        <w:rPr>
          <w:color w:val="384575"/>
        </w:rPr>
        <w:lastRenderedPageBreak/>
        <w:t>O této věci bude rozhodovat</w:t>
      </w:r>
      <w:r w:rsidR="00460264" w:rsidRPr="00862391">
        <w:rPr>
          <w:color w:val="384575"/>
        </w:rPr>
        <w:t xml:space="preserve"> i </w:t>
      </w:r>
      <w:r w:rsidRPr="00862391">
        <w:rPr>
          <w:color w:val="384575"/>
        </w:rPr>
        <w:t>Soudní dvůr Evropské unie (SDEU). Nejvyšší správní soud podal</w:t>
      </w:r>
      <w:r w:rsidR="00460264" w:rsidRPr="00862391">
        <w:rPr>
          <w:color w:val="384575"/>
        </w:rPr>
        <w:t xml:space="preserve"> k </w:t>
      </w:r>
      <w:r w:rsidRPr="00862391">
        <w:rPr>
          <w:color w:val="384575"/>
        </w:rPr>
        <w:t>SDEU žádost</w:t>
      </w:r>
      <w:r w:rsidR="00460264" w:rsidRPr="00862391">
        <w:rPr>
          <w:color w:val="384575"/>
        </w:rPr>
        <w:t xml:space="preserve"> o </w:t>
      </w:r>
      <w:r w:rsidRPr="00862391">
        <w:rPr>
          <w:color w:val="384575"/>
        </w:rPr>
        <w:t>rozhodnutí</w:t>
      </w:r>
      <w:r w:rsidR="00460264" w:rsidRPr="00862391">
        <w:rPr>
          <w:color w:val="384575"/>
        </w:rPr>
        <w:t xml:space="preserve"> o </w:t>
      </w:r>
      <w:r w:rsidRPr="00862391">
        <w:rPr>
          <w:color w:val="384575"/>
        </w:rPr>
        <w:t>předběžné otázce. Český soud měl za to, že věc není dostatečně jednoznačná</w:t>
      </w:r>
      <w:r w:rsidR="00460264" w:rsidRPr="00862391">
        <w:rPr>
          <w:color w:val="384575"/>
        </w:rPr>
        <w:t xml:space="preserve"> a </w:t>
      </w:r>
      <w:r w:rsidRPr="00862391">
        <w:rPr>
          <w:color w:val="384575"/>
        </w:rPr>
        <w:t>SDEU se jí dříve nezabýval, aby mohl rozhodnout samostatně. Místo toho se řídil ustanovením článku 267 Smlouvy</w:t>
      </w:r>
      <w:r w:rsidR="00460264" w:rsidRPr="00862391">
        <w:rPr>
          <w:color w:val="384575"/>
        </w:rPr>
        <w:t xml:space="preserve"> o </w:t>
      </w:r>
      <w:r w:rsidRPr="00862391">
        <w:rPr>
          <w:color w:val="384575"/>
        </w:rPr>
        <w:t>fungování Evropské unie (SFEU), který ukládá soudu členského státu, aby se za určitých okolností obrátil na SDEU.</w:t>
      </w:r>
    </w:p>
    <w:p w14:paraId="13298E8D" w14:textId="77777777" w:rsidR="00E15CD2" w:rsidRPr="00862391" w:rsidRDefault="00E15CD2" w:rsidP="00F37B27">
      <w:pPr>
        <w:spacing w:after="120" w:line="276" w:lineRule="auto"/>
        <w:jc w:val="both"/>
        <w:rPr>
          <w:rFonts w:cstheme="minorHAnsi"/>
          <w:color w:val="384575"/>
        </w:rPr>
      </w:pPr>
      <w:r w:rsidRPr="00862391">
        <w:rPr>
          <w:color w:val="384575"/>
        </w:rPr>
        <w:t>I kdyby SDEU prohlásil českou právní úpravu dočasné ochrany za slučitelnou</w:t>
      </w:r>
      <w:r w:rsidR="00460264" w:rsidRPr="00862391">
        <w:rPr>
          <w:color w:val="384575"/>
        </w:rPr>
        <w:t xml:space="preserve"> s </w:t>
      </w:r>
      <w:r w:rsidRPr="00862391">
        <w:rPr>
          <w:color w:val="384575"/>
        </w:rPr>
        <w:t>Listinou, výše uvedený příklad má důležitý účel: zdůrazňuje, že Listina může nabídnout řešení</w:t>
      </w:r>
      <w:r w:rsidR="00460264" w:rsidRPr="00862391">
        <w:rPr>
          <w:color w:val="384575"/>
        </w:rPr>
        <w:t xml:space="preserve"> v </w:t>
      </w:r>
      <w:r w:rsidRPr="00862391">
        <w:rPr>
          <w:color w:val="384575"/>
        </w:rPr>
        <w:t>oblastech, kde jiné nástroje nebo vnitrostátní ústavní předpisy neposkytují jasnou</w:t>
      </w:r>
      <w:r w:rsidR="00460264" w:rsidRPr="00862391">
        <w:rPr>
          <w:color w:val="384575"/>
        </w:rPr>
        <w:t xml:space="preserve"> a </w:t>
      </w:r>
      <w:r w:rsidRPr="00862391">
        <w:rPr>
          <w:color w:val="384575"/>
        </w:rPr>
        <w:t>pozitivní odpověď na danou otázku. Současně tento příklad zdůrazňuje, že Listina je často neprávem přehlížena,</w:t>
      </w:r>
      <w:r w:rsidR="00460264" w:rsidRPr="00862391">
        <w:rPr>
          <w:color w:val="384575"/>
        </w:rPr>
        <w:t xml:space="preserve"> a </w:t>
      </w:r>
      <w:r w:rsidRPr="00862391">
        <w:rPr>
          <w:color w:val="384575"/>
        </w:rPr>
        <w:t>to</w:t>
      </w:r>
      <w:r w:rsidR="00460264" w:rsidRPr="00862391">
        <w:rPr>
          <w:color w:val="384575"/>
        </w:rPr>
        <w:t xml:space="preserve"> i </w:t>
      </w:r>
      <w:r w:rsidRPr="00862391">
        <w:rPr>
          <w:color w:val="384575"/>
        </w:rPr>
        <w:t>členskými státy</w:t>
      </w:r>
      <w:r w:rsidR="00460264" w:rsidRPr="00862391">
        <w:rPr>
          <w:color w:val="384575"/>
        </w:rPr>
        <w:t xml:space="preserve"> s </w:t>
      </w:r>
      <w:r w:rsidRPr="00862391">
        <w:rPr>
          <w:color w:val="384575"/>
        </w:rPr>
        <w:t>více než dvacetiletým členstvím</w:t>
      </w:r>
      <w:r w:rsidR="00460264" w:rsidRPr="00862391">
        <w:rPr>
          <w:color w:val="384575"/>
        </w:rPr>
        <w:t xml:space="preserve"> v </w:t>
      </w:r>
      <w:r w:rsidRPr="00862391">
        <w:rPr>
          <w:color w:val="384575"/>
        </w:rPr>
        <w:t>EU. Listina hrála</w:t>
      </w:r>
      <w:r w:rsidR="00460264" w:rsidRPr="00862391">
        <w:rPr>
          <w:color w:val="384575"/>
        </w:rPr>
        <w:t xml:space="preserve"> v </w:t>
      </w:r>
      <w:r w:rsidRPr="00862391">
        <w:rPr>
          <w:color w:val="384575"/>
        </w:rPr>
        <w:t>tomto případě klíčovou roli,</w:t>
      </w:r>
      <w:r w:rsidR="00460264" w:rsidRPr="00862391">
        <w:rPr>
          <w:color w:val="384575"/>
        </w:rPr>
        <w:t xml:space="preserve"> a </w:t>
      </w:r>
      <w:r w:rsidRPr="00862391">
        <w:rPr>
          <w:color w:val="384575"/>
        </w:rPr>
        <w:t>proto je významným nedostatkem původního rozsudku Nejvyššího správního soudu, že Listinu nezohlednil od samého počátku svých úvah.</w:t>
      </w:r>
    </w:p>
    <w:p w14:paraId="3C4E6275" w14:textId="77777777" w:rsidR="00E15CD2" w:rsidRPr="00862391" w:rsidRDefault="00E15CD2" w:rsidP="00F37B27">
      <w:pPr>
        <w:spacing w:after="120" w:line="276" w:lineRule="auto"/>
        <w:jc w:val="both"/>
        <w:rPr>
          <w:rFonts w:cstheme="minorHAnsi"/>
          <w:color w:val="384575"/>
        </w:rPr>
      </w:pPr>
      <w:r w:rsidRPr="00862391">
        <w:rPr>
          <w:color w:val="384575"/>
        </w:rPr>
        <w:t>Dále</w:t>
      </w:r>
      <w:r w:rsidR="00460264" w:rsidRPr="00862391">
        <w:rPr>
          <w:color w:val="384575"/>
        </w:rPr>
        <w:t xml:space="preserve"> v </w:t>
      </w:r>
      <w:r w:rsidRPr="00862391">
        <w:rPr>
          <w:color w:val="384575"/>
        </w:rPr>
        <w:t xml:space="preserve">popsané věci hraje zásadní roli také institut předběžné otázky podle </w:t>
      </w:r>
      <w:r w:rsidR="00460264" w:rsidRPr="00862391">
        <w:rPr>
          <w:color w:val="384575"/>
        </w:rPr>
        <w:t>čl. </w:t>
      </w:r>
      <w:r w:rsidRPr="00862391">
        <w:rPr>
          <w:color w:val="384575"/>
        </w:rPr>
        <w:t>267 Smlouvy</w:t>
      </w:r>
      <w:r w:rsidR="00460264" w:rsidRPr="00862391">
        <w:rPr>
          <w:color w:val="384575"/>
        </w:rPr>
        <w:t xml:space="preserve"> o </w:t>
      </w:r>
      <w:r w:rsidRPr="00862391">
        <w:rPr>
          <w:color w:val="384575"/>
        </w:rPr>
        <w:t>fungování Evropské unie (SFEU). Vnitrostátní soudy nejvyšší instance mají povinnost obrátit se na SDEU</w:t>
      </w:r>
      <w:r w:rsidR="00460264" w:rsidRPr="00862391">
        <w:rPr>
          <w:color w:val="384575"/>
        </w:rPr>
        <w:t xml:space="preserve"> s </w:t>
      </w:r>
      <w:r w:rsidRPr="00862391">
        <w:rPr>
          <w:color w:val="384575"/>
        </w:rPr>
        <w:t>žádostí</w:t>
      </w:r>
      <w:r w:rsidR="00460264" w:rsidRPr="00862391">
        <w:rPr>
          <w:color w:val="384575"/>
        </w:rPr>
        <w:t xml:space="preserve"> o </w:t>
      </w:r>
      <w:r w:rsidRPr="00862391">
        <w:rPr>
          <w:color w:val="384575"/>
        </w:rPr>
        <w:t>rozhodnutí</w:t>
      </w:r>
      <w:r w:rsidR="00460264" w:rsidRPr="00862391">
        <w:rPr>
          <w:color w:val="384575"/>
        </w:rPr>
        <w:t xml:space="preserve"> o </w:t>
      </w:r>
      <w:r w:rsidRPr="00862391">
        <w:rPr>
          <w:color w:val="384575"/>
        </w:rPr>
        <w:t>předběžné otázce, pokud je třeba vyjasnit výklad práva EU nebo pokud podobný případ dosud nebyl</w:t>
      </w:r>
      <w:r w:rsidR="00460264" w:rsidRPr="00862391">
        <w:rPr>
          <w:color w:val="384575"/>
        </w:rPr>
        <w:t xml:space="preserve"> v </w:t>
      </w:r>
      <w:r w:rsidRPr="00862391">
        <w:rPr>
          <w:color w:val="384575"/>
        </w:rPr>
        <w:t>judikatuře SDEU řešen. Tato důležitá povinnost by měla být českými soudy využívána častěji.</w:t>
      </w:r>
    </w:p>
    <w:p w14:paraId="2623F4ED" w14:textId="77777777" w:rsidR="00B6326F" w:rsidRPr="00862391" w:rsidRDefault="00B6326F" w:rsidP="00B6326F">
      <w:pPr>
        <w:pStyle w:val="Normlnweb"/>
        <w:spacing w:line="276" w:lineRule="auto"/>
        <w:jc w:val="both"/>
        <w:rPr>
          <w:color w:val="384575"/>
        </w:rPr>
      </w:pPr>
      <w:r w:rsidRPr="00862391">
        <w:rPr>
          <w:color w:val="384575"/>
        </w:rPr>
        <w:t>Mnoho dalších věcí vedených před českými soudy však jasně ukazuje, že hodnota Listiny je českými soudy uznávaná. Dobrým příkladem uplatnění Listiny na vnitrostátní úrovni je uplatnění závěrů uvedených</w:t>
      </w:r>
      <w:r w:rsidR="00460264" w:rsidRPr="00862391">
        <w:rPr>
          <w:color w:val="384575"/>
        </w:rPr>
        <w:t xml:space="preserve"> v </w:t>
      </w:r>
      <w:r w:rsidRPr="00862391">
        <w:rPr>
          <w:color w:val="384575"/>
        </w:rPr>
        <w:t xml:space="preserve">rozsudku SDEU ve věci </w:t>
      </w:r>
      <w:proofErr w:type="spellStart"/>
      <w:r w:rsidRPr="00862391">
        <w:rPr>
          <w:rStyle w:val="Zdraznn"/>
          <w:color w:val="384575"/>
        </w:rPr>
        <w:t>Torubarov</w:t>
      </w:r>
      <w:proofErr w:type="spellEnd"/>
      <w:r w:rsidRPr="00862391">
        <w:rPr>
          <w:color w:val="384575"/>
        </w:rPr>
        <w:t xml:space="preserve"> (C-556/17). Řízení před SDEU se týkalo předběžné otázky vnitrostátního soudu jiného členského státu, ale závěry rozsudku se plně uplatní</w:t>
      </w:r>
      <w:r w:rsidR="00460264" w:rsidRPr="00862391">
        <w:rPr>
          <w:color w:val="384575"/>
        </w:rPr>
        <w:t xml:space="preserve"> v </w:t>
      </w:r>
      <w:r w:rsidRPr="00862391">
        <w:rPr>
          <w:color w:val="384575"/>
        </w:rPr>
        <w:t>České republice. Tento případ navíc dokládá, jak může Listina měnit zcela zásadní pravidla vnitrostátního práva.</w:t>
      </w:r>
    </w:p>
    <w:p w14:paraId="4C77FA72" w14:textId="77777777" w:rsidR="00B6326F" w:rsidRPr="00862391" w:rsidRDefault="00B6326F" w:rsidP="00B6326F">
      <w:pPr>
        <w:pStyle w:val="Normlnweb"/>
        <w:spacing w:line="276" w:lineRule="auto"/>
        <w:jc w:val="both"/>
        <w:rPr>
          <w:color w:val="384575"/>
        </w:rPr>
      </w:pPr>
      <w:r w:rsidRPr="00862391">
        <w:rPr>
          <w:color w:val="384575"/>
        </w:rPr>
        <w:t>Podívejme se stručně na klíčové závěry</w:t>
      </w:r>
      <w:r w:rsidR="00460264" w:rsidRPr="00862391">
        <w:rPr>
          <w:color w:val="384575"/>
        </w:rPr>
        <w:t xml:space="preserve"> v </w:t>
      </w:r>
      <w:r w:rsidRPr="00862391">
        <w:rPr>
          <w:color w:val="384575"/>
        </w:rPr>
        <w:t>této věci, které následně přeneseme na (vnitrostátní) úroveň</w:t>
      </w:r>
      <w:r w:rsidR="00460264" w:rsidRPr="00862391">
        <w:rPr>
          <w:color w:val="384575"/>
        </w:rPr>
        <w:t xml:space="preserve"> v </w:t>
      </w:r>
      <w:r w:rsidRPr="00862391">
        <w:rPr>
          <w:color w:val="384575"/>
        </w:rPr>
        <w:t>rámci české právní úpravy</w:t>
      </w:r>
      <w:r w:rsidR="00460264" w:rsidRPr="00862391">
        <w:rPr>
          <w:color w:val="384575"/>
        </w:rPr>
        <w:t xml:space="preserve"> a </w:t>
      </w:r>
      <w:r w:rsidRPr="00862391">
        <w:rPr>
          <w:color w:val="384575"/>
        </w:rPr>
        <w:t>české soudní praxe. </w:t>
      </w:r>
    </w:p>
    <w:p w14:paraId="31CFB2CB" w14:textId="77777777" w:rsidR="00B6326F" w:rsidRPr="00862391" w:rsidRDefault="00B6326F" w:rsidP="00B6326F">
      <w:pPr>
        <w:pStyle w:val="Normlnweb"/>
        <w:spacing w:line="276" w:lineRule="auto"/>
        <w:jc w:val="both"/>
        <w:rPr>
          <w:color w:val="384575"/>
        </w:rPr>
      </w:pPr>
      <w:r w:rsidRPr="00862391">
        <w:rPr>
          <w:color w:val="384575"/>
        </w:rPr>
        <w:t xml:space="preserve">Věc </w:t>
      </w:r>
      <w:proofErr w:type="spellStart"/>
      <w:r w:rsidRPr="00862391">
        <w:rPr>
          <w:i/>
          <w:color w:val="384575"/>
        </w:rPr>
        <w:t>Torubarov</w:t>
      </w:r>
      <w:proofErr w:type="spellEnd"/>
      <w:r w:rsidRPr="00862391">
        <w:rPr>
          <w:color w:val="384575"/>
        </w:rPr>
        <w:t xml:space="preserve"> projednávaná před SDEU se týkala neúspěšného žadatele</w:t>
      </w:r>
      <w:r w:rsidR="00460264" w:rsidRPr="00862391">
        <w:rPr>
          <w:color w:val="384575"/>
        </w:rPr>
        <w:t xml:space="preserve"> o </w:t>
      </w:r>
      <w:r w:rsidRPr="00862391">
        <w:rPr>
          <w:color w:val="384575"/>
        </w:rPr>
        <w:t xml:space="preserve">mezinárodní ochranu, A. </w:t>
      </w:r>
      <w:proofErr w:type="spellStart"/>
      <w:r w:rsidRPr="00862391">
        <w:rPr>
          <w:color w:val="384575"/>
        </w:rPr>
        <w:t>Torubarova</w:t>
      </w:r>
      <w:proofErr w:type="spellEnd"/>
      <w:r w:rsidRPr="00862391">
        <w:rPr>
          <w:color w:val="384575"/>
        </w:rPr>
        <w:t>, jehož žádost</w:t>
      </w:r>
      <w:r w:rsidR="00460264" w:rsidRPr="00862391">
        <w:rPr>
          <w:color w:val="384575"/>
        </w:rPr>
        <w:t xml:space="preserve"> o </w:t>
      </w:r>
      <w:r w:rsidRPr="00862391">
        <w:rPr>
          <w:color w:val="384575"/>
        </w:rPr>
        <w:t xml:space="preserve">mezinárodní ochranu byla maďarskými orgány opakovaně zamítnuta. Na této skutečnosti by nebylo nic neobvyklého, kdyby soudy nezaujaly zcela odlišný názor na to, zda má A. </w:t>
      </w:r>
      <w:proofErr w:type="spellStart"/>
      <w:r w:rsidRPr="00862391">
        <w:rPr>
          <w:color w:val="384575"/>
        </w:rPr>
        <w:t>Torubarov</w:t>
      </w:r>
      <w:proofErr w:type="spellEnd"/>
      <w:r w:rsidRPr="00862391">
        <w:rPr>
          <w:color w:val="384575"/>
        </w:rPr>
        <w:t xml:space="preserve"> nárok na mezinárodní ochranu. A. </w:t>
      </w:r>
      <w:proofErr w:type="spellStart"/>
      <w:r w:rsidRPr="00862391">
        <w:rPr>
          <w:color w:val="384575"/>
        </w:rPr>
        <w:t>Torubarov</w:t>
      </w:r>
      <w:proofErr w:type="spellEnd"/>
      <w:r w:rsidRPr="00862391">
        <w:rPr>
          <w:color w:val="384575"/>
        </w:rPr>
        <w:t xml:space="preserve"> se proti zamítnutí několikrát bránil</w:t>
      </w:r>
      <w:r w:rsidR="00460264" w:rsidRPr="00862391">
        <w:rPr>
          <w:color w:val="384575"/>
        </w:rPr>
        <w:t xml:space="preserve"> v </w:t>
      </w:r>
      <w:r w:rsidRPr="00862391">
        <w:rPr>
          <w:color w:val="384575"/>
        </w:rPr>
        <w:t>rámci soudního řízení. Nicméně jeho snahy</w:t>
      </w:r>
      <w:r w:rsidR="00460264" w:rsidRPr="00862391">
        <w:rPr>
          <w:color w:val="384575"/>
        </w:rPr>
        <w:t xml:space="preserve"> a </w:t>
      </w:r>
      <w:r w:rsidRPr="00862391">
        <w:rPr>
          <w:color w:val="384575"/>
        </w:rPr>
        <w:t>následná rozhodnutí soudů měly jen omezený dopad. Proč? Podle vnitrostátních právních předpisů byly soudy oprávněny pouze zrušit rozhodnutí orgánů, nikoliv je nahradit vlastním rozhodnutím</w:t>
      </w:r>
      <w:r w:rsidR="00460264" w:rsidRPr="00862391">
        <w:rPr>
          <w:color w:val="384575"/>
        </w:rPr>
        <w:t xml:space="preserve"> o </w:t>
      </w:r>
      <w:r w:rsidRPr="00862391">
        <w:rPr>
          <w:color w:val="384575"/>
        </w:rPr>
        <w:t>udělení mezinárodní ochrany. </w:t>
      </w:r>
    </w:p>
    <w:p w14:paraId="080AE540" w14:textId="77777777" w:rsidR="00B6326F" w:rsidRPr="00862391" w:rsidRDefault="00B6326F" w:rsidP="00B6326F">
      <w:pPr>
        <w:pStyle w:val="Normlnweb"/>
        <w:spacing w:line="276" w:lineRule="auto"/>
        <w:jc w:val="both"/>
        <w:rPr>
          <w:color w:val="384575"/>
        </w:rPr>
      </w:pPr>
      <w:r w:rsidRPr="00862391">
        <w:rPr>
          <w:color w:val="384575"/>
        </w:rPr>
        <w:t>Tuto zásadu soudního rozhodování označujeme jako kasační princip. Jeho důsledkem je</w:t>
      </w:r>
      <w:r w:rsidR="00460264" w:rsidRPr="00862391">
        <w:rPr>
          <w:color w:val="384575"/>
        </w:rPr>
        <w:t xml:space="preserve"> v </w:t>
      </w:r>
      <w:r w:rsidRPr="00862391">
        <w:rPr>
          <w:color w:val="384575"/>
        </w:rPr>
        <w:t>zásadě to, že soud žalobu buď zamítne, nebo jí vyhoví</w:t>
      </w:r>
      <w:r w:rsidR="00460264" w:rsidRPr="00862391">
        <w:rPr>
          <w:color w:val="384575"/>
        </w:rPr>
        <w:t xml:space="preserve"> a </w:t>
      </w:r>
      <w:r w:rsidRPr="00862391">
        <w:rPr>
          <w:color w:val="384575"/>
        </w:rPr>
        <w:t>věc vrátí správnímu orgánu</w:t>
      </w:r>
      <w:r w:rsidR="00460264" w:rsidRPr="00862391">
        <w:rPr>
          <w:color w:val="384575"/>
        </w:rPr>
        <w:t xml:space="preserve"> k </w:t>
      </w:r>
      <w:r w:rsidRPr="00862391">
        <w:rPr>
          <w:color w:val="384575"/>
        </w:rPr>
        <w:t>novému projednání</w:t>
      </w:r>
      <w:r w:rsidR="00460264" w:rsidRPr="00862391">
        <w:rPr>
          <w:color w:val="384575"/>
        </w:rPr>
        <w:t xml:space="preserve"> a </w:t>
      </w:r>
      <w:r w:rsidRPr="00862391">
        <w:rPr>
          <w:color w:val="384575"/>
        </w:rPr>
        <w:t>rozhodnutí. Tak se stalo (několikrát)</w:t>
      </w:r>
      <w:r w:rsidR="00460264" w:rsidRPr="00862391">
        <w:rPr>
          <w:color w:val="384575"/>
        </w:rPr>
        <w:t xml:space="preserve"> v </w:t>
      </w:r>
      <w:r w:rsidRPr="00862391">
        <w:rPr>
          <w:color w:val="384575"/>
        </w:rPr>
        <w:t xml:space="preserve">případě A. </w:t>
      </w:r>
      <w:proofErr w:type="spellStart"/>
      <w:r w:rsidRPr="00862391">
        <w:rPr>
          <w:color w:val="384575"/>
        </w:rPr>
        <w:t>Torubarova</w:t>
      </w:r>
      <w:proofErr w:type="spellEnd"/>
      <w:r w:rsidRPr="00862391">
        <w:rPr>
          <w:color w:val="384575"/>
        </w:rPr>
        <w:t xml:space="preserve">, jehož žádost byla naopak soudy shledána důvodnou. </w:t>
      </w:r>
    </w:p>
    <w:p w14:paraId="25097103" w14:textId="77777777" w:rsidR="00B6326F" w:rsidRPr="00862391" w:rsidRDefault="00B6326F" w:rsidP="00B6326F">
      <w:pPr>
        <w:pStyle w:val="Normlnweb"/>
        <w:spacing w:line="276" w:lineRule="auto"/>
        <w:jc w:val="both"/>
        <w:rPr>
          <w:color w:val="384575"/>
        </w:rPr>
      </w:pPr>
      <w:r w:rsidRPr="00862391">
        <w:rPr>
          <w:color w:val="384575"/>
        </w:rPr>
        <w:lastRenderedPageBreak/>
        <w:t>Správní orgány se nicméně rozhodly tuto judikaturu nerespektovat, aniž by uvedly důvody, proč rozhodují</w:t>
      </w:r>
      <w:r w:rsidR="00460264" w:rsidRPr="00862391">
        <w:rPr>
          <w:color w:val="384575"/>
        </w:rPr>
        <w:t xml:space="preserve"> v </w:t>
      </w:r>
      <w:r w:rsidRPr="00862391">
        <w:rPr>
          <w:color w:val="384575"/>
        </w:rPr>
        <w:t>rozporu</w:t>
      </w:r>
      <w:r w:rsidR="00460264" w:rsidRPr="00862391">
        <w:rPr>
          <w:color w:val="384575"/>
        </w:rPr>
        <w:t xml:space="preserve"> s </w:t>
      </w:r>
      <w:r w:rsidRPr="00862391">
        <w:rPr>
          <w:color w:val="384575"/>
        </w:rPr>
        <w:t>ní,</w:t>
      </w:r>
      <w:r w:rsidR="00460264" w:rsidRPr="00862391">
        <w:rPr>
          <w:color w:val="384575"/>
        </w:rPr>
        <w:t xml:space="preserve"> a </w:t>
      </w:r>
      <w:r w:rsidRPr="00862391">
        <w:rPr>
          <w:color w:val="384575"/>
        </w:rPr>
        <w:t>žádosti</w:t>
      </w:r>
      <w:r w:rsidR="009A148F" w:rsidRPr="00862391">
        <w:rPr>
          <w:color w:val="384575"/>
        </w:rPr>
        <w:t xml:space="preserve"> A. </w:t>
      </w:r>
      <w:proofErr w:type="spellStart"/>
      <w:r w:rsidR="009A148F" w:rsidRPr="00862391">
        <w:rPr>
          <w:color w:val="384575"/>
        </w:rPr>
        <w:t>Torubarova</w:t>
      </w:r>
      <w:proofErr w:type="spellEnd"/>
      <w:r w:rsidR="009A148F" w:rsidRPr="00862391">
        <w:rPr>
          <w:color w:val="384575"/>
        </w:rPr>
        <w:t xml:space="preserve"> nadále zamítaly. </w:t>
      </w:r>
      <w:r w:rsidRPr="00862391">
        <w:rPr>
          <w:color w:val="384575"/>
        </w:rPr>
        <w:t>Tím se celá záležitost dostala do začarovaného kruhu, který mnozí označují ja</w:t>
      </w:r>
      <w:r w:rsidR="009A148F" w:rsidRPr="00862391">
        <w:rPr>
          <w:color w:val="384575"/>
        </w:rPr>
        <w:t>ko „administrativní ping-pong“.</w:t>
      </w:r>
    </w:p>
    <w:p w14:paraId="764152BC" w14:textId="77777777" w:rsidR="00B6326F" w:rsidRPr="00862391" w:rsidRDefault="00B6326F" w:rsidP="00B6326F">
      <w:pPr>
        <w:pStyle w:val="Normlnweb"/>
        <w:spacing w:line="276" w:lineRule="auto"/>
        <w:jc w:val="both"/>
        <w:rPr>
          <w:color w:val="384575"/>
        </w:rPr>
      </w:pPr>
      <w:r w:rsidRPr="00862391">
        <w:rPr>
          <w:color w:val="384575"/>
        </w:rPr>
        <w:t xml:space="preserve">Řešení přinesla až věc </w:t>
      </w:r>
      <w:proofErr w:type="spellStart"/>
      <w:r w:rsidRPr="00862391">
        <w:rPr>
          <w:i/>
          <w:color w:val="384575"/>
        </w:rPr>
        <w:t>Torubarov</w:t>
      </w:r>
      <w:proofErr w:type="spellEnd"/>
      <w:r w:rsidRPr="00862391">
        <w:rPr>
          <w:color w:val="384575"/>
        </w:rPr>
        <w:t>, kterou poskytly SDEU</w:t>
      </w:r>
      <w:r w:rsidR="00460264" w:rsidRPr="00862391">
        <w:rPr>
          <w:color w:val="384575"/>
        </w:rPr>
        <w:t xml:space="preserve"> a </w:t>
      </w:r>
      <w:r w:rsidRPr="00862391">
        <w:rPr>
          <w:color w:val="384575"/>
        </w:rPr>
        <w:t>Listina. SDEU ve svém rozsudku rozhodl, že ustanovení azylového unijního práva ve spojení</w:t>
      </w:r>
      <w:r w:rsidR="00460264" w:rsidRPr="00862391">
        <w:rPr>
          <w:color w:val="384575"/>
        </w:rPr>
        <w:t xml:space="preserve"> s </w:t>
      </w:r>
      <w:r w:rsidRPr="00862391">
        <w:rPr>
          <w:color w:val="384575"/>
        </w:rPr>
        <w:t>článkem 47 Listiny musí být</w:t>
      </w:r>
      <w:r w:rsidR="00460264" w:rsidRPr="00862391">
        <w:rPr>
          <w:color w:val="384575"/>
        </w:rPr>
        <w:t xml:space="preserve"> v </w:t>
      </w:r>
      <w:r w:rsidRPr="00862391">
        <w:rPr>
          <w:color w:val="384575"/>
        </w:rPr>
        <w:t>zájmu zajištění účinného prostředku nápravy vykládána</w:t>
      </w:r>
      <w:r w:rsidR="00460264" w:rsidRPr="00862391">
        <w:rPr>
          <w:color w:val="384575"/>
        </w:rPr>
        <w:t xml:space="preserve"> v </w:t>
      </w:r>
      <w:r w:rsidRPr="00862391">
        <w:rPr>
          <w:color w:val="384575"/>
        </w:rPr>
        <w:t>tom smyslu, že ve výjimečných případech je soud členského státu povinen přímo nahradit rozhodnutí správního orgánu vlastním rozhodnutím</w:t>
      </w:r>
      <w:r w:rsidR="00460264" w:rsidRPr="00862391">
        <w:rPr>
          <w:color w:val="384575"/>
        </w:rPr>
        <w:t xml:space="preserve"> o </w:t>
      </w:r>
      <w:r w:rsidRPr="00862391">
        <w:rPr>
          <w:color w:val="384575"/>
        </w:rPr>
        <w:t>žádosti</w:t>
      </w:r>
      <w:r w:rsidR="00460264" w:rsidRPr="00862391">
        <w:rPr>
          <w:color w:val="384575"/>
        </w:rPr>
        <w:t xml:space="preserve"> o </w:t>
      </w:r>
      <w:r w:rsidRPr="00862391">
        <w:rPr>
          <w:color w:val="384575"/>
        </w:rPr>
        <w:t>mezinárodní ochranu,</w:t>
      </w:r>
      <w:r w:rsidR="00460264" w:rsidRPr="00862391">
        <w:rPr>
          <w:color w:val="384575"/>
        </w:rPr>
        <w:t xml:space="preserve"> i </w:t>
      </w:r>
      <w:r w:rsidRPr="00862391">
        <w:rPr>
          <w:color w:val="384575"/>
        </w:rPr>
        <w:t>když vnitrostátní právní předpisy takový postup znemožňují.</w:t>
      </w:r>
    </w:p>
    <w:p w14:paraId="430FDD8C" w14:textId="77777777" w:rsidR="00B6326F" w:rsidRPr="00862391" w:rsidRDefault="00B6326F" w:rsidP="00B6326F">
      <w:pPr>
        <w:pStyle w:val="Normlnweb"/>
        <w:spacing w:line="276" w:lineRule="auto"/>
        <w:jc w:val="both"/>
        <w:rPr>
          <w:color w:val="384575"/>
        </w:rPr>
      </w:pPr>
      <w:r w:rsidRPr="00862391">
        <w:rPr>
          <w:color w:val="384575"/>
        </w:rPr>
        <w:t>Netrvalo dlouho</w:t>
      </w:r>
      <w:r w:rsidR="00460264" w:rsidRPr="00862391">
        <w:rPr>
          <w:color w:val="384575"/>
        </w:rPr>
        <w:t xml:space="preserve"> a </w:t>
      </w:r>
      <w:r w:rsidRPr="00862391">
        <w:rPr>
          <w:color w:val="384575"/>
        </w:rPr>
        <w:t xml:space="preserve">české soudy začlenily závěry SDEU ve věci </w:t>
      </w:r>
      <w:proofErr w:type="spellStart"/>
      <w:r w:rsidRPr="00862391">
        <w:rPr>
          <w:i/>
          <w:color w:val="384575"/>
        </w:rPr>
        <w:t>Torubarov</w:t>
      </w:r>
      <w:proofErr w:type="spellEnd"/>
      <w:r w:rsidRPr="00862391">
        <w:rPr>
          <w:color w:val="384575"/>
        </w:rPr>
        <w:t xml:space="preserve"> do své judikatury. Potýkaly se se stejným původním problémem, kdy nemohly nahradit rozhodnutí správních orgánů přímo svými vlastními rozhodnutími. Pro žadatele</w:t>
      </w:r>
      <w:r w:rsidR="00460264" w:rsidRPr="00862391">
        <w:rPr>
          <w:color w:val="384575"/>
        </w:rPr>
        <w:t xml:space="preserve"> o </w:t>
      </w:r>
      <w:r w:rsidRPr="00862391">
        <w:rPr>
          <w:color w:val="384575"/>
        </w:rPr>
        <w:t>mezinárodní ochranu je to významný krok, který posiluje jejich právo na účinný prostředek nápravy. Stejně jako</w:t>
      </w:r>
      <w:r w:rsidR="00460264" w:rsidRPr="00862391">
        <w:rPr>
          <w:color w:val="384575"/>
        </w:rPr>
        <w:t xml:space="preserve"> v </w:t>
      </w:r>
      <w:r w:rsidRPr="00862391">
        <w:rPr>
          <w:color w:val="384575"/>
        </w:rPr>
        <w:t xml:space="preserve">případě Maďarska česká právní úprava stále neumožňuje správním soudům nahrazovat rozhodnutí správních orgánů vlastními rozhodnutími. </w:t>
      </w:r>
    </w:p>
    <w:p w14:paraId="52B32963" w14:textId="77777777" w:rsidR="00B6326F" w:rsidRPr="00862391" w:rsidRDefault="00B6326F" w:rsidP="00B6326F">
      <w:pPr>
        <w:pStyle w:val="Normlnweb"/>
        <w:spacing w:line="276" w:lineRule="auto"/>
        <w:jc w:val="both"/>
        <w:rPr>
          <w:color w:val="384575"/>
        </w:rPr>
      </w:pPr>
      <w:r w:rsidRPr="00862391">
        <w:rPr>
          <w:color w:val="384575"/>
        </w:rPr>
        <w:t xml:space="preserve">S rozhodnutím SDEU ve věci </w:t>
      </w:r>
      <w:proofErr w:type="spellStart"/>
      <w:r w:rsidRPr="00862391">
        <w:rPr>
          <w:i/>
          <w:color w:val="384575"/>
        </w:rPr>
        <w:t>Torubarov</w:t>
      </w:r>
      <w:proofErr w:type="spellEnd"/>
      <w:r w:rsidRPr="00862391">
        <w:rPr>
          <w:color w:val="384575"/>
        </w:rPr>
        <w:t xml:space="preserve"> se to však změnilo</w:t>
      </w:r>
      <w:r w:rsidR="00460264" w:rsidRPr="00862391">
        <w:rPr>
          <w:color w:val="384575"/>
        </w:rPr>
        <w:t xml:space="preserve"> a </w:t>
      </w:r>
      <w:r w:rsidRPr="00862391">
        <w:rPr>
          <w:color w:val="384575"/>
        </w:rPr>
        <w:t>české soudy jsou si nyní dobře vědomy své „nové pravomoci“, která sice nevyplývá</w:t>
      </w:r>
      <w:r w:rsidR="00460264" w:rsidRPr="00862391">
        <w:rPr>
          <w:color w:val="384575"/>
        </w:rPr>
        <w:t xml:space="preserve"> z </w:t>
      </w:r>
      <w:r w:rsidRPr="00862391">
        <w:rPr>
          <w:color w:val="384575"/>
        </w:rPr>
        <w:t>českého právního řádu, ale je odvozena přímo</w:t>
      </w:r>
      <w:r w:rsidR="00460264" w:rsidRPr="00862391">
        <w:rPr>
          <w:color w:val="384575"/>
        </w:rPr>
        <w:t xml:space="preserve"> z </w:t>
      </w:r>
      <w:r w:rsidRPr="00862391">
        <w:rPr>
          <w:color w:val="384575"/>
        </w:rPr>
        <w:t xml:space="preserve">článku 47 Listiny. </w:t>
      </w:r>
    </w:p>
    <w:p w14:paraId="3E479986" w14:textId="77777777" w:rsidR="00B6326F" w:rsidRPr="00862391" w:rsidRDefault="00B6326F" w:rsidP="00B6326F">
      <w:pPr>
        <w:pStyle w:val="Normlnweb"/>
        <w:spacing w:line="276" w:lineRule="auto"/>
        <w:jc w:val="both"/>
        <w:rPr>
          <w:color w:val="384575"/>
        </w:rPr>
      </w:pPr>
      <w:r w:rsidRPr="00862391">
        <w:rPr>
          <w:color w:val="384575"/>
        </w:rPr>
        <w:t>Neustále se rozšiřující vnitrostátní judikatura,</w:t>
      </w:r>
      <w:r w:rsidR="00460264" w:rsidRPr="00862391">
        <w:rPr>
          <w:color w:val="384575"/>
        </w:rPr>
        <w:t xml:space="preserve"> v </w:t>
      </w:r>
      <w:r w:rsidRPr="00862391">
        <w:rPr>
          <w:color w:val="384575"/>
        </w:rPr>
        <w:t>níž české soudy neváhají upozornit azylové orgány, že tuto pravomoc využijí, tuto skutečnost pevně dokládá. Jedná se především</w:t>
      </w:r>
      <w:r w:rsidR="00460264" w:rsidRPr="00862391">
        <w:rPr>
          <w:color w:val="384575"/>
        </w:rPr>
        <w:t xml:space="preserve"> o </w:t>
      </w:r>
      <w:r w:rsidRPr="00862391">
        <w:rPr>
          <w:color w:val="384575"/>
        </w:rPr>
        <w:t>případy, kdy české orgány nadále nerespektují závěry soudů</w:t>
      </w:r>
      <w:r w:rsidR="00460264" w:rsidRPr="00862391">
        <w:rPr>
          <w:color w:val="384575"/>
        </w:rPr>
        <w:t xml:space="preserve"> a </w:t>
      </w:r>
      <w:r w:rsidRPr="00862391">
        <w:rPr>
          <w:color w:val="384575"/>
        </w:rPr>
        <w:t>opakovaně zamítají žádosti</w:t>
      </w:r>
      <w:r w:rsidR="00460264" w:rsidRPr="00862391">
        <w:rPr>
          <w:color w:val="384575"/>
        </w:rPr>
        <w:t xml:space="preserve"> o </w:t>
      </w:r>
      <w:r w:rsidRPr="00862391">
        <w:rPr>
          <w:color w:val="384575"/>
        </w:rPr>
        <w:t>mezinárodní ochranu bez jakéhokoli nového věcného důvodu.</w:t>
      </w:r>
    </w:p>
    <w:p w14:paraId="5BD98C5C" w14:textId="77777777" w:rsidR="00E15CD2" w:rsidRPr="007D56D6" w:rsidRDefault="00E15CD2" w:rsidP="00EC2273">
      <w:pPr>
        <w:spacing w:line="276" w:lineRule="auto"/>
        <w:jc w:val="both"/>
        <w:rPr>
          <w:rFonts w:cstheme="minorHAnsi"/>
        </w:rPr>
      </w:pPr>
    </w:p>
    <w:p w14:paraId="43EA87BA" w14:textId="77777777" w:rsidR="00E15CD2" w:rsidRDefault="00E15CD2" w:rsidP="00A12D5C">
      <w:pPr>
        <w:pStyle w:val="Odstavecseseznamem"/>
        <w:numPr>
          <w:ilvl w:val="2"/>
          <w:numId w:val="1"/>
        </w:numPr>
        <w:spacing w:line="276" w:lineRule="auto"/>
        <w:ind w:left="851" w:hanging="851"/>
        <w:jc w:val="both"/>
        <w:rPr>
          <w:b/>
          <w:color w:val="2F55A2"/>
          <w:sz w:val="28"/>
          <w:szCs w:val="28"/>
        </w:rPr>
      </w:pPr>
      <w:r w:rsidRPr="00F766DC">
        <w:rPr>
          <w:b/>
          <w:color w:val="2F55A2"/>
          <w:sz w:val="28"/>
          <w:szCs w:val="28"/>
        </w:rPr>
        <w:t>Francie</w:t>
      </w:r>
    </w:p>
    <w:p w14:paraId="7C4E26F5" w14:textId="77777777" w:rsidR="00F766DC" w:rsidRPr="00F766DC" w:rsidRDefault="00F766DC" w:rsidP="00F766DC">
      <w:pPr>
        <w:pStyle w:val="Odstavecseseznamem"/>
        <w:spacing w:line="276" w:lineRule="auto"/>
        <w:jc w:val="both"/>
        <w:rPr>
          <w:b/>
          <w:color w:val="2F55A2"/>
          <w:sz w:val="28"/>
          <w:szCs w:val="28"/>
        </w:rPr>
      </w:pPr>
    </w:p>
    <w:p w14:paraId="1765D067" w14:textId="77777777" w:rsidR="0049009B" w:rsidRDefault="0049009B" w:rsidP="0049009B">
      <w:pPr>
        <w:spacing w:after="120" w:line="276" w:lineRule="auto"/>
        <w:jc w:val="both"/>
        <w:rPr>
          <w:color w:val="384575"/>
        </w:rPr>
      </w:pPr>
      <w:r w:rsidRPr="00BD5257">
        <w:rPr>
          <w:color w:val="384575"/>
        </w:rPr>
        <w:t>Podle článku 55 francouzské ústavy má Listina základních práv vyšší právní sílu než zákonné právní předpisy, obdobně jako mezinárodní úmluva.</w:t>
      </w:r>
      <w:r w:rsidR="00460264" w:rsidRPr="00BD5257">
        <w:rPr>
          <w:color w:val="384575"/>
        </w:rPr>
        <w:t xml:space="preserve"> V </w:t>
      </w:r>
      <w:r w:rsidRPr="00BD5257">
        <w:rPr>
          <w:color w:val="384575"/>
        </w:rPr>
        <w:t>prosinci 2009, kdy vstoupila</w:t>
      </w:r>
      <w:r w:rsidR="00460264" w:rsidRPr="00BD5257">
        <w:rPr>
          <w:color w:val="384575"/>
        </w:rPr>
        <w:t xml:space="preserve"> v </w:t>
      </w:r>
      <w:r w:rsidRPr="00BD5257">
        <w:rPr>
          <w:color w:val="384575"/>
        </w:rPr>
        <w:t>platnost Lisabonská smlouva, získala Listina závazný právní účinek stejně jako Smlouvy. Vnitrostátní soudy ji tedy musí</w:t>
      </w:r>
      <w:r w:rsidR="00460264" w:rsidRPr="00BD5257">
        <w:rPr>
          <w:color w:val="384575"/>
        </w:rPr>
        <w:t xml:space="preserve"> v </w:t>
      </w:r>
      <w:r w:rsidRPr="00BD5257">
        <w:rPr>
          <w:color w:val="384575"/>
        </w:rPr>
        <w:t>mezích ustanovení Listiny přímo uplatňovat.</w:t>
      </w:r>
    </w:p>
    <w:p w14:paraId="680ABAAA" w14:textId="77777777" w:rsidR="00A76799" w:rsidRPr="00BD5257" w:rsidRDefault="00A76799" w:rsidP="0049009B">
      <w:pPr>
        <w:spacing w:after="120" w:line="276" w:lineRule="auto"/>
        <w:jc w:val="both"/>
        <w:rPr>
          <w:color w:val="384575"/>
        </w:rPr>
      </w:pPr>
    </w:p>
    <w:p w14:paraId="37F8AD20" w14:textId="77777777" w:rsidR="00157B66" w:rsidRPr="00A76799" w:rsidRDefault="00ED6B1D" w:rsidP="00157B66">
      <w:pPr>
        <w:jc w:val="both"/>
        <w:rPr>
          <w:b/>
          <w:bCs/>
          <w:i/>
          <w:iCs/>
          <w:color w:val="2F55A2"/>
        </w:rPr>
      </w:pPr>
      <w:r w:rsidRPr="00A76799">
        <w:rPr>
          <w:b/>
          <w:bCs/>
          <w:i/>
          <w:color w:val="2F55A2"/>
        </w:rPr>
        <w:t>A. Ústavní rada</w:t>
      </w:r>
    </w:p>
    <w:p w14:paraId="5A1676D2" w14:textId="77777777" w:rsidR="00ED6B1D" w:rsidRPr="00BD5257" w:rsidRDefault="00ED6B1D" w:rsidP="000A3B66">
      <w:pPr>
        <w:jc w:val="both"/>
        <w:rPr>
          <w:i/>
          <w:iCs/>
          <w:color w:val="384575"/>
        </w:rPr>
      </w:pPr>
    </w:p>
    <w:p w14:paraId="2AD93A18" w14:textId="77777777" w:rsidR="0049009B" w:rsidRPr="00BD5257" w:rsidRDefault="0049009B" w:rsidP="0049009B">
      <w:pPr>
        <w:spacing w:after="120" w:line="276" w:lineRule="auto"/>
        <w:jc w:val="both"/>
        <w:rPr>
          <w:color w:val="384575"/>
        </w:rPr>
      </w:pPr>
      <w:r w:rsidRPr="00BD5257">
        <w:rPr>
          <w:color w:val="384575"/>
        </w:rPr>
        <w:t>Ústavní rada nepřezkoumává ustanovení vnitrostátního práva</w:t>
      </w:r>
      <w:r w:rsidR="00460264" w:rsidRPr="00BD5257">
        <w:rPr>
          <w:color w:val="384575"/>
        </w:rPr>
        <w:t xml:space="preserve"> z </w:t>
      </w:r>
      <w:r w:rsidRPr="00BD5257">
        <w:rPr>
          <w:color w:val="384575"/>
        </w:rPr>
        <w:t>hlediska mezinárodních závazků.</w:t>
      </w:r>
      <w:r w:rsidR="00460264" w:rsidRPr="00BD5257">
        <w:rPr>
          <w:color w:val="384575"/>
        </w:rPr>
        <w:t xml:space="preserve"> Z </w:t>
      </w:r>
      <w:r w:rsidRPr="00BD5257">
        <w:rPr>
          <w:color w:val="384575"/>
        </w:rPr>
        <w:t>hlediska unijního práva je její pravomoc stanovena pouze</w:t>
      </w:r>
      <w:r w:rsidR="00460264" w:rsidRPr="00BD5257">
        <w:rPr>
          <w:color w:val="384575"/>
        </w:rPr>
        <w:t xml:space="preserve"> v </w:t>
      </w:r>
      <w:r w:rsidRPr="00BD5257">
        <w:rPr>
          <w:color w:val="384575"/>
        </w:rPr>
        <w:t xml:space="preserve">případě </w:t>
      </w:r>
      <w:r w:rsidR="00460264" w:rsidRPr="00BD5257">
        <w:rPr>
          <w:color w:val="384575"/>
        </w:rPr>
        <w:t>čl. </w:t>
      </w:r>
      <w:r w:rsidRPr="00BD5257">
        <w:rPr>
          <w:color w:val="384575"/>
        </w:rPr>
        <w:t xml:space="preserve">88 odst.1 Ústavy: </w:t>
      </w:r>
      <w:r w:rsidRPr="00BD5257">
        <w:rPr>
          <w:i/>
          <w:color w:val="384575"/>
        </w:rPr>
        <w:t>„Republika se účastní Evropské unie složené ze států, které se svobodně rozhodly vykonávat společně některé své pravomoci na základě Smlouvy</w:t>
      </w:r>
      <w:r w:rsidR="00460264" w:rsidRPr="00BD5257">
        <w:rPr>
          <w:i/>
          <w:color w:val="384575"/>
        </w:rPr>
        <w:t xml:space="preserve"> o </w:t>
      </w:r>
      <w:r w:rsidRPr="00BD5257">
        <w:rPr>
          <w:i/>
          <w:color w:val="384575"/>
        </w:rPr>
        <w:t xml:space="preserve">Evropské </w:t>
      </w:r>
      <w:r w:rsidRPr="00BD5257">
        <w:rPr>
          <w:i/>
          <w:color w:val="384575"/>
        </w:rPr>
        <w:lastRenderedPageBreak/>
        <w:t>unii</w:t>
      </w:r>
      <w:r w:rsidR="00460264" w:rsidRPr="00BD5257">
        <w:rPr>
          <w:i/>
          <w:color w:val="384575"/>
        </w:rPr>
        <w:t xml:space="preserve"> a </w:t>
      </w:r>
      <w:r w:rsidRPr="00BD5257">
        <w:rPr>
          <w:i/>
          <w:color w:val="384575"/>
        </w:rPr>
        <w:t>Smlouvy</w:t>
      </w:r>
      <w:r w:rsidR="00460264" w:rsidRPr="00BD5257">
        <w:rPr>
          <w:i/>
          <w:color w:val="384575"/>
        </w:rPr>
        <w:t xml:space="preserve"> o </w:t>
      </w:r>
      <w:r w:rsidRPr="00BD5257">
        <w:rPr>
          <w:i/>
          <w:color w:val="384575"/>
        </w:rPr>
        <w:t>fungování Evropské unie vyplývající ze Smlouvy podepsané</w:t>
      </w:r>
      <w:r w:rsidR="00460264" w:rsidRPr="00BD5257">
        <w:rPr>
          <w:i/>
          <w:color w:val="384575"/>
        </w:rPr>
        <w:t xml:space="preserve"> v </w:t>
      </w:r>
      <w:r w:rsidRPr="00BD5257">
        <w:rPr>
          <w:i/>
          <w:color w:val="384575"/>
        </w:rPr>
        <w:t>Lisabonu dne 13. prosince 2007.“</w:t>
      </w:r>
      <w:r w:rsidRPr="00BD5257">
        <w:rPr>
          <w:color w:val="384575"/>
        </w:rPr>
        <w:t xml:space="preserve"> Provedení směrnice nebo přizpůsobení vnitrostátního práva nařízení nesmí být</w:t>
      </w:r>
      <w:r w:rsidR="00460264" w:rsidRPr="00BD5257">
        <w:rPr>
          <w:color w:val="384575"/>
        </w:rPr>
        <w:t xml:space="preserve"> v </w:t>
      </w:r>
      <w:r w:rsidRPr="00BD5257">
        <w:rPr>
          <w:color w:val="384575"/>
        </w:rPr>
        <w:t>rozporu</w:t>
      </w:r>
      <w:r w:rsidR="00460264" w:rsidRPr="00BD5257">
        <w:rPr>
          <w:color w:val="384575"/>
        </w:rPr>
        <w:t xml:space="preserve"> s </w:t>
      </w:r>
      <w:r w:rsidRPr="00BD5257">
        <w:rPr>
          <w:color w:val="384575"/>
        </w:rPr>
        <w:t>normou nebo zásadou, které jsou vlastní ústavní identitě Francie, pokud</w:t>
      </w:r>
      <w:r w:rsidR="00460264" w:rsidRPr="00BD5257">
        <w:rPr>
          <w:color w:val="384575"/>
        </w:rPr>
        <w:t xml:space="preserve"> s </w:t>
      </w:r>
      <w:r w:rsidRPr="00BD5257">
        <w:rPr>
          <w:color w:val="384575"/>
        </w:rPr>
        <w:t>tím zmocnitel nesouhlasil. Není-li taková norma nebo zásada zpochybněna, není Ústavní rada oprávněna přezkoumávat soulad zákonných ustanovení, která pouze vyvozují nezbytné důsledky</w:t>
      </w:r>
      <w:r w:rsidR="00460264" w:rsidRPr="00BD5257">
        <w:rPr>
          <w:color w:val="384575"/>
        </w:rPr>
        <w:t xml:space="preserve"> z </w:t>
      </w:r>
      <w:r w:rsidRPr="00BD5257">
        <w:rPr>
          <w:color w:val="384575"/>
        </w:rPr>
        <w:t>nepodmíněných</w:t>
      </w:r>
      <w:r w:rsidR="00460264" w:rsidRPr="00BD5257">
        <w:rPr>
          <w:color w:val="384575"/>
        </w:rPr>
        <w:t xml:space="preserve"> a </w:t>
      </w:r>
      <w:r w:rsidRPr="00BD5257">
        <w:rPr>
          <w:color w:val="384575"/>
        </w:rPr>
        <w:t>přesných ustanovení směrnice nebo nařízení Evropské unie,</w:t>
      </w:r>
      <w:r w:rsidR="00460264" w:rsidRPr="00BD5257">
        <w:rPr>
          <w:color w:val="384575"/>
        </w:rPr>
        <w:t xml:space="preserve"> s </w:t>
      </w:r>
      <w:r w:rsidRPr="00BD5257">
        <w:rPr>
          <w:color w:val="384575"/>
        </w:rPr>
        <w:t>Ústavou.</w:t>
      </w:r>
      <w:r w:rsidR="00460264" w:rsidRPr="00BD5257">
        <w:rPr>
          <w:color w:val="384575"/>
        </w:rPr>
        <w:t xml:space="preserve"> V </w:t>
      </w:r>
      <w:r w:rsidRPr="00BD5257">
        <w:rPr>
          <w:color w:val="384575"/>
        </w:rPr>
        <w:t>takovém případě přísluší pouze soudům Evropské unie, které mohou být požádány</w:t>
      </w:r>
      <w:r w:rsidR="00460264" w:rsidRPr="00BD5257">
        <w:rPr>
          <w:color w:val="384575"/>
        </w:rPr>
        <w:t xml:space="preserve"> o </w:t>
      </w:r>
      <w:r w:rsidRPr="00BD5257">
        <w:rPr>
          <w:color w:val="384575"/>
        </w:rPr>
        <w:t>rozhodnutí</w:t>
      </w:r>
      <w:r w:rsidR="00460264" w:rsidRPr="00BD5257">
        <w:rPr>
          <w:color w:val="384575"/>
        </w:rPr>
        <w:t xml:space="preserve"> o </w:t>
      </w:r>
      <w:r w:rsidRPr="00BD5257">
        <w:rPr>
          <w:color w:val="384575"/>
        </w:rPr>
        <w:t>předběžné otázce, aby přezkoumaly, zda je tato směrnice nebo nařízení</w:t>
      </w:r>
      <w:r w:rsidR="00460264" w:rsidRPr="00BD5257">
        <w:rPr>
          <w:color w:val="384575"/>
        </w:rPr>
        <w:t xml:space="preserve"> v </w:t>
      </w:r>
      <w:r w:rsidRPr="00BD5257">
        <w:rPr>
          <w:color w:val="384575"/>
        </w:rPr>
        <w:t>souladu se základními právy zaručenými článkem 6 Smlouvy</w:t>
      </w:r>
      <w:r w:rsidR="00460264" w:rsidRPr="00BD5257">
        <w:rPr>
          <w:color w:val="384575"/>
        </w:rPr>
        <w:t xml:space="preserve"> o </w:t>
      </w:r>
      <w:r w:rsidRPr="00BD5257">
        <w:rPr>
          <w:color w:val="384575"/>
        </w:rPr>
        <w:t>Evropské unii.</w:t>
      </w:r>
    </w:p>
    <w:p w14:paraId="6A968275" w14:textId="77777777" w:rsidR="0049009B" w:rsidRPr="00BD5257" w:rsidRDefault="0049009B" w:rsidP="0049009B">
      <w:pPr>
        <w:spacing w:after="120" w:line="276" w:lineRule="auto"/>
        <w:jc w:val="both"/>
        <w:rPr>
          <w:color w:val="384575"/>
        </w:rPr>
      </w:pPr>
      <w:r w:rsidRPr="00BD5257">
        <w:rPr>
          <w:color w:val="384575"/>
        </w:rPr>
        <w:t xml:space="preserve">Například věc </w:t>
      </w:r>
      <w:proofErr w:type="spellStart"/>
      <w:r w:rsidRPr="00BD5257">
        <w:rPr>
          <w:i/>
          <w:color w:val="384575"/>
        </w:rPr>
        <w:t>Société</w:t>
      </w:r>
      <w:proofErr w:type="spellEnd"/>
      <w:r w:rsidRPr="00BD5257">
        <w:rPr>
          <w:i/>
          <w:color w:val="384575"/>
        </w:rPr>
        <w:t xml:space="preserve"> Air France</w:t>
      </w:r>
      <w:r w:rsidRPr="00BD5257">
        <w:rPr>
          <w:color w:val="384575"/>
        </w:rPr>
        <w:t xml:space="preserve"> týkající se povinnosti leteckých dopravců přesměrovat cizince, kterým byl odepřen vstup do Francie (rozhodnutí </w:t>
      </w:r>
      <w:r w:rsidR="00460264" w:rsidRPr="00BD5257">
        <w:rPr>
          <w:color w:val="384575"/>
        </w:rPr>
        <w:t>č. </w:t>
      </w:r>
      <w:r w:rsidRPr="00BD5257">
        <w:rPr>
          <w:color w:val="384575"/>
        </w:rPr>
        <w:t xml:space="preserve">2021-940 QPC (předběžná otázka ve věci ústavnosti) ze dne 15. října 2021, </w:t>
      </w:r>
      <w:proofErr w:type="spellStart"/>
      <w:r w:rsidRPr="00BD5257">
        <w:rPr>
          <w:color w:val="384575"/>
        </w:rPr>
        <w:t>Société</w:t>
      </w:r>
      <w:proofErr w:type="spellEnd"/>
      <w:r w:rsidRPr="00BD5257">
        <w:rPr>
          <w:color w:val="384575"/>
        </w:rPr>
        <w:t xml:space="preserve"> Air France). Tato věc byla zahájena na základě použití článku L. 213-4 CESEDA (Zákon</w:t>
      </w:r>
      <w:r w:rsidR="00460264" w:rsidRPr="00BD5257">
        <w:rPr>
          <w:color w:val="384575"/>
        </w:rPr>
        <w:t xml:space="preserve"> o </w:t>
      </w:r>
      <w:r w:rsidRPr="00BD5257">
        <w:rPr>
          <w:color w:val="384575"/>
        </w:rPr>
        <w:t>vstupu</w:t>
      </w:r>
      <w:r w:rsidR="00460264" w:rsidRPr="00BD5257">
        <w:rPr>
          <w:color w:val="384575"/>
        </w:rPr>
        <w:t xml:space="preserve"> a </w:t>
      </w:r>
      <w:r w:rsidRPr="00BD5257">
        <w:rPr>
          <w:color w:val="384575"/>
        </w:rPr>
        <w:t>pobytu cizinců</w:t>
      </w:r>
      <w:r w:rsidR="00460264" w:rsidRPr="00BD5257">
        <w:rPr>
          <w:color w:val="384575"/>
        </w:rPr>
        <w:t xml:space="preserve"> a </w:t>
      </w:r>
      <w:r w:rsidRPr="00BD5257">
        <w:rPr>
          <w:color w:val="384575"/>
        </w:rPr>
        <w:t>o právu na azyl, dále jen „zákon CESEDA“), který stanoví, že letečtí nebo námořní dopravci, kteří přepravili osobu, jíž byl odepřen vstup na francouzské území</w:t>
      </w:r>
      <w:r w:rsidR="00460264" w:rsidRPr="00BD5257">
        <w:rPr>
          <w:color w:val="384575"/>
        </w:rPr>
        <w:t xml:space="preserve"> z </w:t>
      </w:r>
      <w:r w:rsidRPr="00BD5257">
        <w:rPr>
          <w:color w:val="384575"/>
        </w:rPr>
        <w:t>důvodu, že by její „přítomnost představovala hrozbu pro veřejný pořádek“, nebo na kterou se vztahuje buď zákaz vstupu na území, nebo příkaz</w:t>
      </w:r>
      <w:r w:rsidR="00460264" w:rsidRPr="00BD5257">
        <w:rPr>
          <w:color w:val="384575"/>
        </w:rPr>
        <w:t xml:space="preserve"> k </w:t>
      </w:r>
      <w:r w:rsidRPr="00BD5257">
        <w:rPr>
          <w:color w:val="384575"/>
        </w:rPr>
        <w:t>vyhoštění, jsou „povinni, na žádost orgánů odpovědných za kontrolu osob na hranicích neprodleně vrátit cizince do místa, kde nastoupil do dopravního prostředku společnosti, nebo, pokud to není možné, do státu, který vydal cestovní doklad,</w:t>
      </w:r>
      <w:r w:rsidR="00460264" w:rsidRPr="00BD5257">
        <w:rPr>
          <w:color w:val="384575"/>
        </w:rPr>
        <w:t xml:space="preserve"> s </w:t>
      </w:r>
      <w:r w:rsidRPr="00BD5257">
        <w:rPr>
          <w:color w:val="384575"/>
        </w:rPr>
        <w:t>nímž cestoval, nebo na jiné místo, kde může být přijat“. Účelem článku L. 213-4 zákona CESEDA bylo vyvodit ve vnitrostátním právu důsledky vyplývající</w:t>
      </w:r>
      <w:r w:rsidR="00460264" w:rsidRPr="00BD5257">
        <w:rPr>
          <w:color w:val="384575"/>
        </w:rPr>
        <w:t xml:space="preserve"> z </w:t>
      </w:r>
      <w:r w:rsidRPr="00BD5257">
        <w:rPr>
          <w:color w:val="384575"/>
        </w:rPr>
        <w:t>Úmluvy</w:t>
      </w:r>
      <w:r w:rsidR="00460264" w:rsidRPr="00BD5257">
        <w:rPr>
          <w:color w:val="384575"/>
        </w:rPr>
        <w:t xml:space="preserve"> k </w:t>
      </w:r>
      <w:r w:rsidRPr="00BD5257">
        <w:rPr>
          <w:color w:val="384575"/>
        </w:rPr>
        <w:t>provedení Schengenské dohody, podepsané dne 19. června 1990. Ministr vnitra uložil společnosti Air France dvě pokuty za nesplnění povinnosti přesměrovat dva cestující, kterým byl odepřen vstup na francouzské území.  Společnost Air France požádala</w:t>
      </w:r>
      <w:r w:rsidR="00460264" w:rsidRPr="00BD5257">
        <w:rPr>
          <w:color w:val="384575"/>
        </w:rPr>
        <w:t xml:space="preserve"> o </w:t>
      </w:r>
      <w:r w:rsidRPr="00BD5257">
        <w:rPr>
          <w:color w:val="384575"/>
        </w:rPr>
        <w:t>rozhodnutí</w:t>
      </w:r>
      <w:r w:rsidR="00460264" w:rsidRPr="00BD5257">
        <w:rPr>
          <w:color w:val="384575"/>
        </w:rPr>
        <w:t xml:space="preserve"> o </w:t>
      </w:r>
      <w:r w:rsidRPr="00BD5257">
        <w:rPr>
          <w:color w:val="384575"/>
        </w:rPr>
        <w:t>předběžné otázce ve věci ústavnosti týkající se napadení ustanovení článku L 213-4</w:t>
      </w:r>
      <w:r w:rsidR="00460264" w:rsidRPr="00BD5257">
        <w:rPr>
          <w:color w:val="384575"/>
        </w:rPr>
        <w:t xml:space="preserve"> z </w:t>
      </w:r>
      <w:r w:rsidRPr="00BD5257">
        <w:rPr>
          <w:color w:val="384575"/>
        </w:rPr>
        <w:t>důvodu jeho rozporu</w:t>
      </w:r>
      <w:r w:rsidR="00460264" w:rsidRPr="00BD5257">
        <w:rPr>
          <w:color w:val="384575"/>
        </w:rPr>
        <w:t xml:space="preserve"> s </w:t>
      </w:r>
      <w:r w:rsidRPr="00BD5257">
        <w:rPr>
          <w:color w:val="384575"/>
        </w:rPr>
        <w:t>Ústavou. Rada připomněla, že pokud má porušení práv</w:t>
      </w:r>
      <w:r w:rsidR="00460264" w:rsidRPr="00BD5257">
        <w:rPr>
          <w:color w:val="384575"/>
        </w:rPr>
        <w:t xml:space="preserve"> a </w:t>
      </w:r>
      <w:r w:rsidRPr="00BD5257">
        <w:rPr>
          <w:color w:val="384575"/>
        </w:rPr>
        <w:t>svobod chráněných Ústavou původ</w:t>
      </w:r>
      <w:r w:rsidR="00460264" w:rsidRPr="00BD5257">
        <w:rPr>
          <w:color w:val="384575"/>
        </w:rPr>
        <w:t xml:space="preserve"> v </w:t>
      </w:r>
      <w:r w:rsidRPr="00BD5257">
        <w:rPr>
          <w:color w:val="384575"/>
        </w:rPr>
        <w:t xml:space="preserve">právním předpisu Evropské </w:t>
      </w:r>
      <w:proofErr w:type="gramStart"/>
      <w:r w:rsidRPr="00BD5257">
        <w:rPr>
          <w:color w:val="384575"/>
        </w:rPr>
        <w:t>unie</w:t>
      </w:r>
      <w:proofErr w:type="gramEnd"/>
      <w:r w:rsidR="00460264" w:rsidRPr="00BD5257">
        <w:rPr>
          <w:color w:val="384575"/>
        </w:rPr>
        <w:t xml:space="preserve"> a </w:t>
      </w:r>
      <w:r w:rsidRPr="00BD5257">
        <w:rPr>
          <w:color w:val="384575"/>
        </w:rPr>
        <w:t>přestože jsou tato práva</w:t>
      </w:r>
      <w:r w:rsidR="00460264" w:rsidRPr="00BD5257">
        <w:rPr>
          <w:color w:val="384575"/>
        </w:rPr>
        <w:t xml:space="preserve"> a </w:t>
      </w:r>
      <w:r w:rsidRPr="00BD5257">
        <w:rPr>
          <w:color w:val="384575"/>
        </w:rPr>
        <w:t>svobody chráněny</w:t>
      </w:r>
      <w:r w:rsidR="00460264" w:rsidRPr="00BD5257">
        <w:rPr>
          <w:color w:val="384575"/>
        </w:rPr>
        <w:t xml:space="preserve"> i </w:t>
      </w:r>
      <w:r w:rsidRPr="00BD5257">
        <w:rPr>
          <w:color w:val="384575"/>
        </w:rPr>
        <w:t>evropským právním řádem, je na Ústavní radě, aby přenechala úkol, jehož cílem je zajistit dodržování práva Evropské unie, obecným soudům – tj. francouzským správním</w:t>
      </w:r>
      <w:r w:rsidR="00460264" w:rsidRPr="00BD5257">
        <w:rPr>
          <w:color w:val="384575"/>
        </w:rPr>
        <w:t xml:space="preserve"> a </w:t>
      </w:r>
      <w:r w:rsidRPr="00BD5257">
        <w:rPr>
          <w:color w:val="384575"/>
        </w:rPr>
        <w:t>obecným soudům</w:t>
      </w:r>
      <w:r w:rsidR="00460264" w:rsidRPr="00BD5257">
        <w:rPr>
          <w:color w:val="384575"/>
        </w:rPr>
        <w:t xml:space="preserve"> a </w:t>
      </w:r>
      <w:r w:rsidRPr="00BD5257">
        <w:rPr>
          <w:color w:val="384575"/>
        </w:rPr>
        <w:t>případně Soudnímu dvoru Evropské unie. Na druhou stranu, pokud jsou</w:t>
      </w:r>
      <w:r w:rsidR="00460264" w:rsidRPr="00BD5257">
        <w:rPr>
          <w:color w:val="384575"/>
        </w:rPr>
        <w:t xml:space="preserve"> v </w:t>
      </w:r>
      <w:r w:rsidRPr="00BD5257">
        <w:rPr>
          <w:color w:val="384575"/>
        </w:rPr>
        <w:t>sázce normy</w:t>
      </w:r>
      <w:r w:rsidR="00460264" w:rsidRPr="00BD5257">
        <w:rPr>
          <w:color w:val="384575"/>
        </w:rPr>
        <w:t xml:space="preserve"> a </w:t>
      </w:r>
      <w:r w:rsidRPr="00BD5257">
        <w:rPr>
          <w:color w:val="384575"/>
        </w:rPr>
        <w:t>zásady, které jsou vlastní ústavní identitě Francie, je to úkolem Ústavní rady, aby zajistila jejich dodržování.</w:t>
      </w:r>
    </w:p>
    <w:p w14:paraId="2B17B73E" w14:textId="77777777" w:rsidR="0049009B" w:rsidRDefault="0049009B" w:rsidP="0049009B">
      <w:pPr>
        <w:spacing w:after="120" w:line="276" w:lineRule="auto"/>
        <w:jc w:val="both"/>
        <w:rPr>
          <w:color w:val="384575"/>
        </w:rPr>
      </w:pPr>
      <w:r w:rsidRPr="00BD5257">
        <w:rPr>
          <w:color w:val="384575"/>
        </w:rPr>
        <w:t>V roce 2013 došlo</w:t>
      </w:r>
      <w:r w:rsidR="00460264" w:rsidRPr="00BD5257">
        <w:rPr>
          <w:color w:val="384575"/>
        </w:rPr>
        <w:t xml:space="preserve"> k </w:t>
      </w:r>
      <w:r w:rsidRPr="00BD5257">
        <w:rPr>
          <w:color w:val="384575"/>
        </w:rPr>
        <w:t xml:space="preserve">rozhodnutí ve věci </w:t>
      </w:r>
      <w:r w:rsidRPr="00BD5257">
        <w:rPr>
          <w:i/>
          <w:color w:val="384575"/>
        </w:rPr>
        <w:t>Jeremy F.</w:t>
      </w:r>
      <w:r w:rsidRPr="00BD5257">
        <w:rPr>
          <w:color w:val="384575"/>
        </w:rPr>
        <w:t>,</w:t>
      </w:r>
      <w:r w:rsidR="00460264" w:rsidRPr="00BD5257">
        <w:rPr>
          <w:color w:val="384575"/>
        </w:rPr>
        <w:t xml:space="preserve"> v </w:t>
      </w:r>
      <w:r w:rsidRPr="00BD5257">
        <w:rPr>
          <w:color w:val="384575"/>
        </w:rPr>
        <w:t xml:space="preserve">němž Ústavní rada poprvé předložila Soudnímu dvoru otázku, která se týkala provedení evropského zatýkacího rozkazu do vnitrostátního práva, která však byla předložena na základě </w:t>
      </w:r>
      <w:r w:rsidR="00460264" w:rsidRPr="00BD5257">
        <w:rPr>
          <w:color w:val="384575"/>
        </w:rPr>
        <w:t>čl. </w:t>
      </w:r>
      <w:r w:rsidRPr="00BD5257">
        <w:rPr>
          <w:color w:val="384575"/>
        </w:rPr>
        <w:t xml:space="preserve">88 odst. 2 Ústavy, který stanoví, že zákonodárce stanoví pravidla týkající se evropského zatýkacího rozkazu „za použití právních předpisů přijatých orgány Evropské unie“. Ústavní rada se ve svém rozhodnutí </w:t>
      </w:r>
      <w:r w:rsidR="00460264" w:rsidRPr="00BD5257">
        <w:rPr>
          <w:color w:val="384575"/>
        </w:rPr>
        <w:t>č. </w:t>
      </w:r>
      <w:hyperlink r:id="rId36" w:history="1">
        <w:r w:rsidRPr="00BD5257">
          <w:rPr>
            <w:rStyle w:val="Hypertextovodkaz"/>
            <w:color w:val="384575"/>
          </w:rPr>
          <w:t>2013-314 P QPC</w:t>
        </w:r>
      </w:hyperlink>
      <w:r w:rsidRPr="00BD5257">
        <w:rPr>
          <w:color w:val="384575"/>
        </w:rPr>
        <w:t xml:space="preserve"> ze dne 4. dubna 2013 poprvé obrátila na Soudní dvůr Evropské unie</w:t>
      </w:r>
      <w:r w:rsidR="00460264" w:rsidRPr="00BD5257">
        <w:rPr>
          <w:color w:val="384575"/>
        </w:rPr>
        <w:t xml:space="preserve"> s </w:t>
      </w:r>
      <w:r w:rsidRPr="00BD5257">
        <w:rPr>
          <w:color w:val="384575"/>
        </w:rPr>
        <w:t>žádostí</w:t>
      </w:r>
      <w:r w:rsidR="00460264" w:rsidRPr="00BD5257">
        <w:rPr>
          <w:color w:val="384575"/>
        </w:rPr>
        <w:t xml:space="preserve"> o </w:t>
      </w:r>
      <w:r w:rsidRPr="00BD5257">
        <w:rPr>
          <w:color w:val="384575"/>
        </w:rPr>
        <w:t>rozhodnutí</w:t>
      </w:r>
      <w:r w:rsidR="00460264" w:rsidRPr="00BD5257">
        <w:rPr>
          <w:color w:val="384575"/>
        </w:rPr>
        <w:t xml:space="preserve"> o </w:t>
      </w:r>
      <w:r w:rsidRPr="00BD5257">
        <w:rPr>
          <w:color w:val="384575"/>
        </w:rPr>
        <w:t>předběžné otázce.</w:t>
      </w:r>
    </w:p>
    <w:p w14:paraId="0ADAC7DA" w14:textId="77777777" w:rsidR="00A76799" w:rsidRPr="00BD5257" w:rsidRDefault="00A76799" w:rsidP="0049009B">
      <w:pPr>
        <w:spacing w:after="120" w:line="276" w:lineRule="auto"/>
        <w:jc w:val="both"/>
        <w:rPr>
          <w:color w:val="384575"/>
        </w:rPr>
      </w:pPr>
    </w:p>
    <w:p w14:paraId="47DD9F36" w14:textId="77777777" w:rsidR="00B039DE" w:rsidRPr="00A76799" w:rsidRDefault="00ED6B1D" w:rsidP="00B039DE">
      <w:pPr>
        <w:jc w:val="both"/>
        <w:rPr>
          <w:b/>
          <w:bCs/>
          <w:i/>
          <w:iCs/>
          <w:color w:val="2F55A2"/>
        </w:rPr>
      </w:pPr>
      <w:r w:rsidRPr="00A76799">
        <w:rPr>
          <w:b/>
          <w:bCs/>
          <w:i/>
          <w:color w:val="2F55A2"/>
        </w:rPr>
        <w:lastRenderedPageBreak/>
        <w:t>B. Otázky předcházející použití Listiny</w:t>
      </w:r>
    </w:p>
    <w:p w14:paraId="1C31C4B8" w14:textId="77777777" w:rsidR="00B039DE" w:rsidRPr="007D56D6" w:rsidRDefault="00B039DE" w:rsidP="00B039DE">
      <w:pPr>
        <w:jc w:val="both"/>
        <w:rPr>
          <w:b/>
          <w:bCs/>
        </w:rPr>
      </w:pPr>
    </w:p>
    <w:p w14:paraId="3C54821D" w14:textId="77777777" w:rsidR="0049009B" w:rsidRPr="00A76799" w:rsidRDefault="0049009B" w:rsidP="0049009B">
      <w:pPr>
        <w:spacing w:after="120" w:line="276" w:lineRule="auto"/>
        <w:jc w:val="both"/>
        <w:rPr>
          <w:color w:val="384575"/>
        </w:rPr>
      </w:pPr>
      <w:r w:rsidRPr="00A76799">
        <w:rPr>
          <w:color w:val="384575"/>
        </w:rPr>
        <w:t>Vnitrostátní soudy musí rozhodnout, zda spor spadá do oblasti působnosti unijního práva. Jak bylo uvedeno, za tímto účelem je třeba zajistit, aby se spor týkal provádění unijního práva,</w:t>
      </w:r>
      <w:r w:rsidR="00460264" w:rsidRPr="00A76799">
        <w:rPr>
          <w:color w:val="384575"/>
        </w:rPr>
        <w:t xml:space="preserve"> a </w:t>
      </w:r>
      <w:r w:rsidRPr="00A76799">
        <w:rPr>
          <w:color w:val="384575"/>
        </w:rPr>
        <w:t xml:space="preserve">proto je třeba odkázat na judikaturu Soudního dvora týkající se tohoto pojmu. </w:t>
      </w:r>
    </w:p>
    <w:p w14:paraId="11106004" w14:textId="77777777" w:rsidR="0049009B" w:rsidRDefault="0049009B" w:rsidP="0049009B">
      <w:pPr>
        <w:spacing w:after="120" w:line="276" w:lineRule="auto"/>
        <w:jc w:val="both"/>
        <w:rPr>
          <w:color w:val="384575"/>
        </w:rPr>
      </w:pPr>
      <w:r w:rsidRPr="00A76799">
        <w:rPr>
          <w:color w:val="384575"/>
        </w:rPr>
        <w:t>Jak již bylo řečeno, advokát se musí před vnitrostátním soudem dovolávat unijního práva, aby mohlo být uplatněno, neboť žalobní důvody týkající se porušení základních práv zaručených Ústavou, Evropskou úmluvou</w:t>
      </w:r>
      <w:r w:rsidR="00460264" w:rsidRPr="00A76799">
        <w:rPr>
          <w:color w:val="384575"/>
        </w:rPr>
        <w:t xml:space="preserve"> o </w:t>
      </w:r>
      <w:r w:rsidRPr="00A76799">
        <w:rPr>
          <w:color w:val="384575"/>
        </w:rPr>
        <w:t>lidských právech</w:t>
      </w:r>
      <w:r w:rsidR="00460264" w:rsidRPr="00A76799">
        <w:rPr>
          <w:color w:val="384575"/>
        </w:rPr>
        <w:t xml:space="preserve"> a </w:t>
      </w:r>
      <w:r w:rsidRPr="00A76799">
        <w:rPr>
          <w:color w:val="384575"/>
        </w:rPr>
        <w:t>Listinou musí být uplatněny účastníky řízení, neboť shoda nebo soulad vnitrostátního ustanovení</w:t>
      </w:r>
      <w:r w:rsidR="00460264" w:rsidRPr="00A76799">
        <w:rPr>
          <w:color w:val="384575"/>
        </w:rPr>
        <w:t xml:space="preserve"> s </w:t>
      </w:r>
      <w:r w:rsidRPr="00A76799">
        <w:rPr>
          <w:color w:val="384575"/>
        </w:rPr>
        <w:t>Listinou není otázkou veřejného pořádku, kterou musí vznést soudce. Lze však připomenout, že francouzský soud někdy vznese námitku založenou na unijním právu nebo Evropské úmluvě</w:t>
      </w:r>
      <w:r w:rsidR="00460264" w:rsidRPr="00A76799">
        <w:rPr>
          <w:color w:val="384575"/>
        </w:rPr>
        <w:t xml:space="preserve"> z </w:t>
      </w:r>
      <w:r w:rsidRPr="00A76799">
        <w:rPr>
          <w:color w:val="384575"/>
        </w:rPr>
        <w:t>úřední povinnosti.</w:t>
      </w:r>
    </w:p>
    <w:p w14:paraId="3A527CA4" w14:textId="77777777" w:rsidR="00A76799" w:rsidRPr="00A76799" w:rsidRDefault="00A76799" w:rsidP="0049009B">
      <w:pPr>
        <w:spacing w:after="120" w:line="276" w:lineRule="auto"/>
        <w:jc w:val="both"/>
        <w:rPr>
          <w:color w:val="384575"/>
        </w:rPr>
      </w:pPr>
    </w:p>
    <w:p w14:paraId="3C4025E3" w14:textId="77777777" w:rsidR="00E50C14" w:rsidRPr="00A76799" w:rsidRDefault="00ED6B1D" w:rsidP="00E50C14">
      <w:pPr>
        <w:jc w:val="both"/>
        <w:rPr>
          <w:b/>
          <w:bCs/>
          <w:i/>
          <w:iCs/>
          <w:color w:val="2F55A2"/>
        </w:rPr>
      </w:pPr>
      <w:r w:rsidRPr="00A76799">
        <w:rPr>
          <w:b/>
          <w:bCs/>
          <w:i/>
          <w:color w:val="2F55A2"/>
        </w:rPr>
        <w:t>C. Úloha vnitrostátního soudu při používání Listiny</w:t>
      </w:r>
    </w:p>
    <w:p w14:paraId="03FA444B" w14:textId="77777777" w:rsidR="00E50C14" w:rsidRPr="007D56D6" w:rsidRDefault="00E50C14" w:rsidP="00E50C14">
      <w:pPr>
        <w:jc w:val="both"/>
        <w:rPr>
          <w:b/>
          <w:bCs/>
        </w:rPr>
      </w:pPr>
    </w:p>
    <w:p w14:paraId="331AA805" w14:textId="77777777" w:rsidR="0049009B" w:rsidRPr="005A1E3D" w:rsidRDefault="0049009B" w:rsidP="0049009B">
      <w:pPr>
        <w:spacing w:after="120" w:line="276" w:lineRule="auto"/>
        <w:jc w:val="both"/>
        <w:rPr>
          <w:color w:val="384575"/>
        </w:rPr>
      </w:pPr>
      <w:r w:rsidRPr="005A1E3D">
        <w:rPr>
          <w:color w:val="384575"/>
        </w:rPr>
        <w:t>Vzhledem</w:t>
      </w:r>
      <w:r w:rsidR="00460264" w:rsidRPr="005A1E3D">
        <w:rPr>
          <w:color w:val="384575"/>
        </w:rPr>
        <w:t xml:space="preserve"> k </w:t>
      </w:r>
      <w:r w:rsidRPr="005A1E3D">
        <w:rPr>
          <w:color w:val="384575"/>
        </w:rPr>
        <w:t>tomu, že neexistuje přímá možnost obrátit se na Soudní dvůr, která by odpovídala právu podat individuální stížnost (článek 34 EÚLP), spočívá síla Listiny na vnitrostátním soudci</w:t>
      </w:r>
      <w:r w:rsidR="00460264" w:rsidRPr="005A1E3D">
        <w:rPr>
          <w:color w:val="384575"/>
        </w:rPr>
        <w:t xml:space="preserve"> a </w:t>
      </w:r>
      <w:r w:rsidRPr="005A1E3D">
        <w:rPr>
          <w:color w:val="384575"/>
        </w:rPr>
        <w:t>na mechanismu rozhodnutí</w:t>
      </w:r>
      <w:r w:rsidR="00460264" w:rsidRPr="005A1E3D">
        <w:rPr>
          <w:color w:val="384575"/>
        </w:rPr>
        <w:t xml:space="preserve"> o </w:t>
      </w:r>
      <w:r w:rsidRPr="005A1E3D">
        <w:rPr>
          <w:color w:val="384575"/>
        </w:rPr>
        <w:t>předběžné otázce, který je nástrojem dialogu mezi soudci. Na rozdíl od Evropské úmluvy</w:t>
      </w:r>
      <w:r w:rsidR="00460264" w:rsidRPr="005A1E3D">
        <w:rPr>
          <w:color w:val="384575"/>
        </w:rPr>
        <w:t xml:space="preserve"> o </w:t>
      </w:r>
      <w:r w:rsidRPr="005A1E3D">
        <w:rPr>
          <w:color w:val="384575"/>
        </w:rPr>
        <w:t>lidských právech nabízí právo Evropské unie možnost přímo využít výklad práva Evropské unie,</w:t>
      </w:r>
      <w:r w:rsidR="00460264" w:rsidRPr="005A1E3D">
        <w:rPr>
          <w:color w:val="384575"/>
        </w:rPr>
        <w:t xml:space="preserve"> a </w:t>
      </w:r>
      <w:r w:rsidRPr="005A1E3D">
        <w:rPr>
          <w:color w:val="384575"/>
        </w:rPr>
        <w:t>to prostřednictvím řízení</w:t>
      </w:r>
      <w:r w:rsidR="00460264" w:rsidRPr="005A1E3D">
        <w:rPr>
          <w:color w:val="384575"/>
        </w:rPr>
        <w:t xml:space="preserve"> o </w:t>
      </w:r>
      <w:r w:rsidRPr="005A1E3D">
        <w:rPr>
          <w:color w:val="384575"/>
        </w:rPr>
        <w:t>předběžné otázce (podle Evropské úmluvy jsou žádosti</w:t>
      </w:r>
      <w:r w:rsidR="00460264" w:rsidRPr="005A1E3D">
        <w:rPr>
          <w:color w:val="384575"/>
        </w:rPr>
        <w:t xml:space="preserve"> o </w:t>
      </w:r>
      <w:r w:rsidRPr="005A1E3D">
        <w:rPr>
          <w:color w:val="384575"/>
        </w:rPr>
        <w:t xml:space="preserve">stanovisko Soudního dvora vyhrazeny Kasačnímu soudu (Cour de </w:t>
      </w:r>
      <w:proofErr w:type="spellStart"/>
      <w:r w:rsidRPr="005A1E3D">
        <w:rPr>
          <w:color w:val="384575"/>
        </w:rPr>
        <w:t>cassation</w:t>
      </w:r>
      <w:proofErr w:type="spellEnd"/>
      <w:r w:rsidRPr="005A1E3D">
        <w:rPr>
          <w:color w:val="384575"/>
        </w:rPr>
        <w:t>)</w:t>
      </w:r>
      <w:r w:rsidR="00460264" w:rsidRPr="005A1E3D">
        <w:rPr>
          <w:color w:val="384575"/>
        </w:rPr>
        <w:t xml:space="preserve"> a </w:t>
      </w:r>
      <w:r w:rsidRPr="005A1E3D">
        <w:rPr>
          <w:color w:val="384575"/>
        </w:rPr>
        <w:t>Státní radě (</w:t>
      </w:r>
      <w:proofErr w:type="spellStart"/>
      <w:r w:rsidRPr="005A1E3D">
        <w:rPr>
          <w:color w:val="384575"/>
        </w:rPr>
        <w:t>Conseil</w:t>
      </w:r>
      <w:proofErr w:type="spellEnd"/>
      <w:r w:rsidRPr="005A1E3D">
        <w:rPr>
          <w:color w:val="384575"/>
        </w:rPr>
        <w:t xml:space="preserve"> </w:t>
      </w:r>
      <w:proofErr w:type="spellStart"/>
      <w:r w:rsidRPr="005A1E3D">
        <w:rPr>
          <w:color w:val="384575"/>
        </w:rPr>
        <w:t>d'État</w:t>
      </w:r>
      <w:proofErr w:type="spellEnd"/>
      <w:r w:rsidRPr="005A1E3D">
        <w:rPr>
          <w:color w:val="384575"/>
        </w:rPr>
        <w:t>), jsou fakultativní</w:t>
      </w:r>
      <w:r w:rsidR="00460264" w:rsidRPr="005A1E3D">
        <w:rPr>
          <w:color w:val="384575"/>
        </w:rPr>
        <w:t xml:space="preserve"> a </w:t>
      </w:r>
      <w:r w:rsidRPr="005A1E3D">
        <w:rPr>
          <w:color w:val="384575"/>
        </w:rPr>
        <w:t>stanovisko není pro vnitrostátní soud závazné).</w:t>
      </w:r>
    </w:p>
    <w:p w14:paraId="20AC9931" w14:textId="77777777" w:rsidR="0049009B" w:rsidRPr="005A1E3D" w:rsidRDefault="0049009B" w:rsidP="0049009B">
      <w:pPr>
        <w:spacing w:after="120" w:line="276" w:lineRule="auto"/>
        <w:jc w:val="both"/>
        <w:rPr>
          <w:color w:val="384575"/>
        </w:rPr>
      </w:pPr>
      <w:r w:rsidRPr="005A1E3D">
        <w:rPr>
          <w:color w:val="384575"/>
        </w:rPr>
        <w:t>Například</w:t>
      </w:r>
      <w:r w:rsidR="00460264" w:rsidRPr="005A1E3D">
        <w:rPr>
          <w:color w:val="384575"/>
        </w:rPr>
        <w:t xml:space="preserve"> v </w:t>
      </w:r>
      <w:r w:rsidRPr="005A1E3D">
        <w:rPr>
          <w:color w:val="384575"/>
        </w:rPr>
        <w:t>souvislosti</w:t>
      </w:r>
      <w:r w:rsidR="00460264" w:rsidRPr="005A1E3D">
        <w:rPr>
          <w:color w:val="384575"/>
        </w:rPr>
        <w:t xml:space="preserve"> s </w:t>
      </w:r>
      <w:r w:rsidRPr="005A1E3D">
        <w:rPr>
          <w:color w:val="384575"/>
        </w:rPr>
        <w:t>právem zadržených osob dostávat stravu</w:t>
      </w:r>
      <w:r w:rsidR="00460264" w:rsidRPr="005A1E3D">
        <w:rPr>
          <w:color w:val="384575"/>
        </w:rPr>
        <w:t xml:space="preserve"> v </w:t>
      </w:r>
      <w:r w:rsidRPr="005A1E3D">
        <w:rPr>
          <w:color w:val="384575"/>
        </w:rPr>
        <w:t>souladu</w:t>
      </w:r>
      <w:r w:rsidR="00460264" w:rsidRPr="005A1E3D">
        <w:rPr>
          <w:color w:val="384575"/>
        </w:rPr>
        <w:t xml:space="preserve"> s </w:t>
      </w:r>
      <w:r w:rsidRPr="005A1E3D">
        <w:rPr>
          <w:color w:val="384575"/>
        </w:rPr>
        <w:t>jejich náboženským přesvědčením měla Státní rada příležitost upřesnit, že žalobní důvod, kterým je tvrzeno porušení článku 10 Listiny, je neúčinný, neboť státy neprovádějí unijní právo</w:t>
      </w:r>
      <w:r w:rsidR="00460264" w:rsidRPr="005A1E3D">
        <w:rPr>
          <w:color w:val="384575"/>
        </w:rPr>
        <w:t xml:space="preserve"> v </w:t>
      </w:r>
      <w:r w:rsidRPr="005A1E3D">
        <w:rPr>
          <w:color w:val="384575"/>
        </w:rPr>
        <w:t xml:space="preserve">této oblasti (Státní rada, 10. února 2016, M.B., </w:t>
      </w:r>
      <w:r w:rsidR="00460264" w:rsidRPr="005A1E3D">
        <w:rPr>
          <w:color w:val="384575"/>
        </w:rPr>
        <w:t>č. </w:t>
      </w:r>
      <w:r w:rsidRPr="005A1E3D">
        <w:rPr>
          <w:color w:val="384575"/>
        </w:rPr>
        <w:t>385929). Kasační soud skutečně vydal několik rozsudků týkajících se nošení náboženských symbolů na pracovišti</w:t>
      </w:r>
      <w:r w:rsidR="00460264" w:rsidRPr="005A1E3D">
        <w:rPr>
          <w:color w:val="384575"/>
        </w:rPr>
        <w:t xml:space="preserve"> v </w:t>
      </w:r>
      <w:r w:rsidRPr="005A1E3D">
        <w:rPr>
          <w:color w:val="384575"/>
        </w:rPr>
        <w:t>souvislosti</w:t>
      </w:r>
      <w:r w:rsidR="00460264" w:rsidRPr="005A1E3D">
        <w:rPr>
          <w:color w:val="384575"/>
        </w:rPr>
        <w:t xml:space="preserve"> s </w:t>
      </w:r>
      <w:r w:rsidRPr="005A1E3D">
        <w:rPr>
          <w:color w:val="384575"/>
        </w:rPr>
        <w:t>diskriminací, bylo to však proto, že se jednalo</w:t>
      </w:r>
      <w:r w:rsidR="00460264" w:rsidRPr="005A1E3D">
        <w:rPr>
          <w:color w:val="384575"/>
        </w:rPr>
        <w:t xml:space="preserve"> o </w:t>
      </w:r>
      <w:r w:rsidRPr="005A1E3D">
        <w:rPr>
          <w:color w:val="384575"/>
        </w:rPr>
        <w:t>směrnici Rady 2000/78/ES ze dne 27. listopadu 2000, kterou se stanoví obecný rámec pro rovné zacházení</w:t>
      </w:r>
      <w:r w:rsidR="00460264" w:rsidRPr="005A1E3D">
        <w:rPr>
          <w:color w:val="384575"/>
        </w:rPr>
        <w:t xml:space="preserve"> v </w:t>
      </w:r>
      <w:r w:rsidRPr="005A1E3D">
        <w:rPr>
          <w:color w:val="384575"/>
        </w:rPr>
        <w:t>zaměstnání</w:t>
      </w:r>
      <w:r w:rsidR="00460264" w:rsidRPr="005A1E3D">
        <w:rPr>
          <w:color w:val="384575"/>
        </w:rPr>
        <w:t xml:space="preserve"> a </w:t>
      </w:r>
      <w:r w:rsidRPr="005A1E3D">
        <w:rPr>
          <w:color w:val="384575"/>
        </w:rPr>
        <w:t>povolání.</w:t>
      </w:r>
    </w:p>
    <w:p w14:paraId="187DAA52" w14:textId="77777777" w:rsidR="0049009B" w:rsidRPr="005A1E3D" w:rsidRDefault="0049009B" w:rsidP="0049009B">
      <w:pPr>
        <w:spacing w:after="120" w:line="276" w:lineRule="auto"/>
        <w:jc w:val="both"/>
        <w:rPr>
          <w:color w:val="384575"/>
        </w:rPr>
      </w:pPr>
      <w:r w:rsidRPr="005A1E3D">
        <w:rPr>
          <w:color w:val="384575"/>
        </w:rPr>
        <w:t>Kasační soud přijal vlastní rozhodnutí na základě Listiny, ale jedná se</w:t>
      </w:r>
      <w:r w:rsidR="00460264" w:rsidRPr="005A1E3D">
        <w:rPr>
          <w:color w:val="384575"/>
        </w:rPr>
        <w:t xml:space="preserve"> o </w:t>
      </w:r>
      <w:r w:rsidRPr="005A1E3D">
        <w:rPr>
          <w:color w:val="384575"/>
        </w:rPr>
        <w:t xml:space="preserve">výjimečný případ. Například pracovněprávní věc (Kasační soud, senát pro sociální záležitosti, ze dne 31. ledna 2012, </w:t>
      </w:r>
      <w:r w:rsidR="00460264" w:rsidRPr="005A1E3D">
        <w:rPr>
          <w:color w:val="384575"/>
        </w:rPr>
        <w:t>č. </w:t>
      </w:r>
      <w:r w:rsidRPr="005A1E3D">
        <w:rPr>
          <w:color w:val="384575"/>
        </w:rPr>
        <w:t>10-19.807).</w:t>
      </w:r>
      <w:r w:rsidR="00460264" w:rsidRPr="005A1E3D">
        <w:rPr>
          <w:color w:val="384575"/>
        </w:rPr>
        <w:t xml:space="preserve"> V </w:t>
      </w:r>
      <w:r w:rsidRPr="005A1E3D">
        <w:rPr>
          <w:color w:val="384575"/>
        </w:rPr>
        <w:t>této věci zaměstnanec požádal</w:t>
      </w:r>
      <w:r w:rsidR="00460264" w:rsidRPr="005A1E3D">
        <w:rPr>
          <w:color w:val="384575"/>
        </w:rPr>
        <w:t xml:space="preserve"> o </w:t>
      </w:r>
      <w:r w:rsidRPr="005A1E3D">
        <w:rPr>
          <w:color w:val="384575"/>
        </w:rPr>
        <w:t>proplacení přesčasů, přičemž napadl zákonnost pracovní smlouvy na dobu určitou (</w:t>
      </w:r>
      <w:proofErr w:type="spellStart"/>
      <w:r w:rsidRPr="005A1E3D">
        <w:rPr>
          <w:color w:val="384575"/>
        </w:rPr>
        <w:t>convention</w:t>
      </w:r>
      <w:proofErr w:type="spellEnd"/>
      <w:r w:rsidRPr="005A1E3D">
        <w:rPr>
          <w:color w:val="384575"/>
        </w:rPr>
        <w:t xml:space="preserve"> de </w:t>
      </w:r>
      <w:proofErr w:type="spellStart"/>
      <w:r w:rsidRPr="005A1E3D">
        <w:rPr>
          <w:color w:val="384575"/>
        </w:rPr>
        <w:t>forfeit</w:t>
      </w:r>
      <w:proofErr w:type="spellEnd"/>
      <w:r w:rsidRPr="005A1E3D">
        <w:rPr>
          <w:color w:val="384575"/>
        </w:rPr>
        <w:t xml:space="preserve"> </w:t>
      </w:r>
      <w:proofErr w:type="spellStart"/>
      <w:r w:rsidRPr="005A1E3D">
        <w:rPr>
          <w:color w:val="384575"/>
        </w:rPr>
        <w:t>jours</w:t>
      </w:r>
      <w:proofErr w:type="spellEnd"/>
      <w:r w:rsidRPr="005A1E3D">
        <w:rPr>
          <w:color w:val="384575"/>
        </w:rPr>
        <w:t>). Na základě práva Evropské unie</w:t>
      </w:r>
      <w:r w:rsidR="00460264" w:rsidRPr="005A1E3D">
        <w:rPr>
          <w:color w:val="384575"/>
        </w:rPr>
        <w:t xml:space="preserve"> a </w:t>
      </w:r>
      <w:r w:rsidRPr="005A1E3D">
        <w:rPr>
          <w:color w:val="384575"/>
        </w:rPr>
        <w:t>článku 31 Listiny, jakož</w:t>
      </w:r>
      <w:r w:rsidR="00460264" w:rsidRPr="005A1E3D">
        <w:rPr>
          <w:color w:val="384575"/>
        </w:rPr>
        <w:t xml:space="preserve"> i </w:t>
      </w:r>
      <w:r w:rsidRPr="005A1E3D">
        <w:rPr>
          <w:color w:val="384575"/>
        </w:rPr>
        <w:t>obecných zásad ochrany zdraví</w:t>
      </w:r>
      <w:r w:rsidR="00460264" w:rsidRPr="005A1E3D">
        <w:rPr>
          <w:color w:val="384575"/>
        </w:rPr>
        <w:t xml:space="preserve"> a </w:t>
      </w:r>
      <w:r w:rsidRPr="005A1E3D">
        <w:rPr>
          <w:color w:val="384575"/>
        </w:rPr>
        <w:t>bezpečnosti pracovníků, francouzský Nejvyšší soud žalobě zaměstnance vyhověl.</w:t>
      </w:r>
    </w:p>
    <w:p w14:paraId="27FBC423" w14:textId="77777777" w:rsidR="0049009B" w:rsidRPr="005A1E3D" w:rsidRDefault="0049009B" w:rsidP="0049009B">
      <w:pPr>
        <w:spacing w:after="120" w:line="276" w:lineRule="auto"/>
        <w:jc w:val="both"/>
        <w:rPr>
          <w:color w:val="384575"/>
        </w:rPr>
      </w:pPr>
      <w:r w:rsidRPr="005A1E3D">
        <w:rPr>
          <w:color w:val="384575"/>
        </w:rPr>
        <w:t>Další nedávný důležitý příklad se týká výkladu zákoníku práce týkajícího se placené nemocenské dovolené</w:t>
      </w:r>
      <w:r w:rsidR="00460264" w:rsidRPr="005A1E3D">
        <w:rPr>
          <w:color w:val="384575"/>
        </w:rPr>
        <w:t xml:space="preserve"> a </w:t>
      </w:r>
      <w:r w:rsidRPr="005A1E3D">
        <w:rPr>
          <w:color w:val="384575"/>
        </w:rPr>
        <w:t>unijního práva vykládaného</w:t>
      </w:r>
      <w:r w:rsidR="00460264" w:rsidRPr="005A1E3D">
        <w:rPr>
          <w:color w:val="384575"/>
        </w:rPr>
        <w:t xml:space="preserve"> s </w:t>
      </w:r>
      <w:r w:rsidRPr="005A1E3D">
        <w:rPr>
          <w:color w:val="384575"/>
        </w:rPr>
        <w:t xml:space="preserve">ohledem na Listinu (Kasační soud 13/09/2023, </w:t>
      </w:r>
      <w:r w:rsidR="00460264" w:rsidRPr="005A1E3D">
        <w:rPr>
          <w:color w:val="384575"/>
        </w:rPr>
        <w:t>č. </w:t>
      </w:r>
      <w:r w:rsidRPr="005A1E3D">
        <w:rPr>
          <w:color w:val="384575"/>
        </w:rPr>
        <w:t>22.17340, 22-17341</w:t>
      </w:r>
      <w:r w:rsidR="00460264" w:rsidRPr="005A1E3D">
        <w:rPr>
          <w:color w:val="384575"/>
        </w:rPr>
        <w:t xml:space="preserve"> a </w:t>
      </w:r>
      <w:r w:rsidRPr="005A1E3D">
        <w:rPr>
          <w:color w:val="384575"/>
        </w:rPr>
        <w:t xml:space="preserve">22-17342). Zaměstnanec požadoval </w:t>
      </w:r>
      <w:r w:rsidRPr="005A1E3D">
        <w:rPr>
          <w:color w:val="384575"/>
        </w:rPr>
        <w:lastRenderedPageBreak/>
        <w:t>proplacení dovolené za období, kdy byl</w:t>
      </w:r>
      <w:r w:rsidR="00460264" w:rsidRPr="005A1E3D">
        <w:rPr>
          <w:color w:val="384575"/>
        </w:rPr>
        <w:t xml:space="preserve"> v </w:t>
      </w:r>
      <w:r w:rsidRPr="005A1E3D">
        <w:rPr>
          <w:color w:val="384575"/>
        </w:rPr>
        <w:t>pracovní neschopnosti, ačkoli ve francouzském právu</w:t>
      </w:r>
      <w:r w:rsidR="00460264" w:rsidRPr="005A1E3D">
        <w:rPr>
          <w:color w:val="384575"/>
        </w:rPr>
        <w:t xml:space="preserve"> v </w:t>
      </w:r>
      <w:r w:rsidRPr="005A1E3D">
        <w:rPr>
          <w:color w:val="384575"/>
        </w:rPr>
        <w:t>té době takový nárok nebyl zaveden. Kasační soud</w:t>
      </w:r>
      <w:r w:rsidR="00460264" w:rsidRPr="005A1E3D">
        <w:rPr>
          <w:color w:val="384575"/>
        </w:rPr>
        <w:t xml:space="preserve"> v </w:t>
      </w:r>
      <w:r w:rsidRPr="005A1E3D">
        <w:rPr>
          <w:color w:val="384575"/>
        </w:rPr>
        <w:t>této věci uvedl, že:</w:t>
      </w:r>
    </w:p>
    <w:p w14:paraId="00A03CF9" w14:textId="77777777" w:rsidR="0049009B" w:rsidRPr="005A1E3D" w:rsidRDefault="0049009B" w:rsidP="0049009B">
      <w:pPr>
        <w:spacing w:after="120" w:line="276" w:lineRule="auto"/>
        <w:jc w:val="both"/>
        <w:rPr>
          <w:i/>
          <w:iCs/>
          <w:color w:val="384575"/>
        </w:rPr>
      </w:pPr>
      <w:r w:rsidRPr="005A1E3D">
        <w:rPr>
          <w:i/>
          <w:color w:val="384575"/>
        </w:rPr>
        <w:t xml:space="preserve">„8. Právo na placenou dovolenou za kalendářní rok je základní zásadou sociálního unijního práva (rozsudek Soudního dvora ze dne 6. listopadu 2018, </w:t>
      </w:r>
      <w:proofErr w:type="spellStart"/>
      <w:r w:rsidRPr="005A1E3D">
        <w:rPr>
          <w:i/>
          <w:color w:val="384575"/>
        </w:rPr>
        <w:t>Stadt</w:t>
      </w:r>
      <w:proofErr w:type="spellEnd"/>
      <w:r w:rsidRPr="005A1E3D">
        <w:rPr>
          <w:i/>
          <w:color w:val="384575"/>
        </w:rPr>
        <w:t xml:space="preserve"> </w:t>
      </w:r>
      <w:proofErr w:type="spellStart"/>
      <w:r w:rsidRPr="005A1E3D">
        <w:rPr>
          <w:i/>
          <w:color w:val="384575"/>
        </w:rPr>
        <w:t>Wuppertal</w:t>
      </w:r>
      <w:proofErr w:type="spellEnd"/>
      <w:r w:rsidRPr="005A1E3D">
        <w:rPr>
          <w:i/>
          <w:color w:val="384575"/>
        </w:rPr>
        <w:t xml:space="preserve"> v. Bauer, C-569/16,</w:t>
      </w:r>
      <w:r w:rsidR="00460264" w:rsidRPr="005A1E3D">
        <w:rPr>
          <w:i/>
          <w:color w:val="384575"/>
        </w:rPr>
        <w:t xml:space="preserve"> a </w:t>
      </w:r>
      <w:proofErr w:type="spellStart"/>
      <w:r w:rsidRPr="005A1E3D">
        <w:rPr>
          <w:i/>
          <w:color w:val="384575"/>
        </w:rPr>
        <w:t>Willmeroth</w:t>
      </w:r>
      <w:proofErr w:type="spellEnd"/>
      <w:r w:rsidRPr="005A1E3D">
        <w:rPr>
          <w:i/>
          <w:color w:val="384575"/>
        </w:rPr>
        <w:t xml:space="preserve"> v. </w:t>
      </w:r>
      <w:proofErr w:type="spellStart"/>
      <w:r w:rsidRPr="005A1E3D">
        <w:rPr>
          <w:i/>
          <w:color w:val="384575"/>
        </w:rPr>
        <w:t>Broßonn</w:t>
      </w:r>
      <w:proofErr w:type="spellEnd"/>
      <w:r w:rsidRPr="005A1E3D">
        <w:rPr>
          <w:i/>
          <w:color w:val="384575"/>
        </w:rPr>
        <w:t>, C-570/16, bod 80). 9.</w:t>
      </w:r>
      <w:r w:rsidR="00460264" w:rsidRPr="005A1E3D">
        <w:rPr>
          <w:i/>
          <w:color w:val="384575"/>
        </w:rPr>
        <w:t xml:space="preserve"> Z </w:t>
      </w:r>
      <w:r w:rsidRPr="005A1E3D">
        <w:rPr>
          <w:i/>
          <w:color w:val="384575"/>
        </w:rPr>
        <w:t>judikatury Soudního dvora Evropské unie vyplývá, že směrnice Evropského parlamentu</w:t>
      </w:r>
      <w:r w:rsidR="00460264" w:rsidRPr="005A1E3D">
        <w:rPr>
          <w:i/>
          <w:color w:val="384575"/>
        </w:rPr>
        <w:t xml:space="preserve"> a </w:t>
      </w:r>
      <w:r w:rsidRPr="005A1E3D">
        <w:rPr>
          <w:i/>
          <w:color w:val="384575"/>
        </w:rPr>
        <w:t>Rady 2003/88/ES ze dne 4. listopadu 2003</w:t>
      </w:r>
      <w:r w:rsidR="00460264" w:rsidRPr="005A1E3D">
        <w:rPr>
          <w:i/>
          <w:color w:val="384575"/>
        </w:rPr>
        <w:t xml:space="preserve"> o </w:t>
      </w:r>
      <w:r w:rsidRPr="005A1E3D">
        <w:rPr>
          <w:i/>
          <w:color w:val="384575"/>
        </w:rPr>
        <w:t>některých aspektech úpravy pracovní doby nerozlišuje mezi pracovníky, kteří jsou</w:t>
      </w:r>
      <w:r w:rsidR="00460264" w:rsidRPr="005A1E3D">
        <w:rPr>
          <w:i/>
          <w:color w:val="384575"/>
        </w:rPr>
        <w:t xml:space="preserve"> v </w:t>
      </w:r>
      <w:r w:rsidRPr="005A1E3D">
        <w:rPr>
          <w:i/>
          <w:color w:val="384575"/>
        </w:rPr>
        <w:t>referenčním období nepřítomni</w:t>
      </w:r>
      <w:r w:rsidR="00460264" w:rsidRPr="005A1E3D">
        <w:rPr>
          <w:i/>
          <w:color w:val="384575"/>
        </w:rPr>
        <w:t xml:space="preserve"> v </w:t>
      </w:r>
      <w:r w:rsidRPr="005A1E3D">
        <w:rPr>
          <w:i/>
          <w:color w:val="384575"/>
        </w:rPr>
        <w:t>práci</w:t>
      </w:r>
      <w:r w:rsidR="00460264" w:rsidRPr="005A1E3D">
        <w:rPr>
          <w:i/>
          <w:color w:val="384575"/>
        </w:rPr>
        <w:t xml:space="preserve"> z </w:t>
      </w:r>
      <w:r w:rsidRPr="005A1E3D">
        <w:rPr>
          <w:i/>
          <w:color w:val="384575"/>
        </w:rPr>
        <w:t>důvodu nemoci,</w:t>
      </w:r>
      <w:r w:rsidR="00460264" w:rsidRPr="005A1E3D">
        <w:rPr>
          <w:i/>
          <w:color w:val="384575"/>
        </w:rPr>
        <w:t xml:space="preserve"> a </w:t>
      </w:r>
      <w:r w:rsidRPr="005A1E3D">
        <w:rPr>
          <w:i/>
          <w:color w:val="384575"/>
        </w:rPr>
        <w:t>pracovníky, kteří</w:t>
      </w:r>
      <w:r w:rsidR="00460264" w:rsidRPr="005A1E3D">
        <w:rPr>
          <w:i/>
          <w:color w:val="384575"/>
        </w:rPr>
        <w:t xml:space="preserve"> v </w:t>
      </w:r>
      <w:r w:rsidRPr="005A1E3D">
        <w:rPr>
          <w:i/>
          <w:color w:val="384575"/>
        </w:rPr>
        <w:t>tomto období skutečně pracovali.</w:t>
      </w:r>
      <w:r w:rsidR="00460264" w:rsidRPr="005A1E3D">
        <w:rPr>
          <w:i/>
          <w:color w:val="384575"/>
        </w:rPr>
        <w:t xml:space="preserve"> Z </w:t>
      </w:r>
      <w:r w:rsidRPr="005A1E3D">
        <w:rPr>
          <w:i/>
          <w:color w:val="384575"/>
        </w:rPr>
        <w:t>toho vyplývá, že</w:t>
      </w:r>
      <w:r w:rsidR="00460264" w:rsidRPr="005A1E3D">
        <w:rPr>
          <w:i/>
          <w:color w:val="384575"/>
        </w:rPr>
        <w:t xml:space="preserve"> v </w:t>
      </w:r>
      <w:r w:rsidRPr="005A1E3D">
        <w:rPr>
          <w:i/>
          <w:color w:val="384575"/>
        </w:rPr>
        <w:t xml:space="preserve">případě pracovníků na řádně předepsané nemocenské nemůže členský stát právo na placenou dovolenou za kalendářní rok přiznané touto směrnicí všem pracovníkům podřídit povinnosti skutečně pracovat během referenčního období stanoveného tímto státem (rozsudek Soudního dvora ze dne 20. ledna 2009, </w:t>
      </w:r>
      <w:proofErr w:type="spellStart"/>
      <w:r w:rsidRPr="005A1E3D">
        <w:rPr>
          <w:i/>
          <w:color w:val="384575"/>
        </w:rPr>
        <w:t>Schultz-Hoff</w:t>
      </w:r>
      <w:proofErr w:type="spellEnd"/>
      <w:r w:rsidRPr="005A1E3D">
        <w:rPr>
          <w:i/>
          <w:color w:val="384575"/>
        </w:rPr>
        <w:t xml:space="preserve">, C-350/06, bod 41; rozsudek Soudního dvora ze dne 24. ledna 2012, </w:t>
      </w:r>
      <w:proofErr w:type="spellStart"/>
      <w:r w:rsidRPr="005A1E3D">
        <w:rPr>
          <w:i/>
          <w:color w:val="384575"/>
        </w:rPr>
        <w:t>Dominguez</w:t>
      </w:r>
      <w:proofErr w:type="spellEnd"/>
      <w:r w:rsidRPr="005A1E3D">
        <w:rPr>
          <w:i/>
          <w:color w:val="384575"/>
        </w:rPr>
        <w:t xml:space="preserve">, C-282/10, bod 20). </w:t>
      </w:r>
    </w:p>
    <w:p w14:paraId="1E4FD029" w14:textId="77777777" w:rsidR="0049009B" w:rsidRPr="005A1E3D" w:rsidRDefault="009A148F" w:rsidP="0049009B">
      <w:pPr>
        <w:spacing w:after="120" w:line="276" w:lineRule="auto"/>
        <w:jc w:val="both"/>
        <w:rPr>
          <w:i/>
          <w:color w:val="384575"/>
        </w:rPr>
      </w:pPr>
      <w:r w:rsidRPr="005A1E3D">
        <w:rPr>
          <w:i/>
          <w:color w:val="384575"/>
        </w:rPr>
        <w:t>[…]</w:t>
      </w:r>
    </w:p>
    <w:p w14:paraId="76F1751B" w14:textId="77777777" w:rsidR="0049009B" w:rsidRPr="005A1E3D" w:rsidRDefault="0049009B" w:rsidP="0049009B">
      <w:pPr>
        <w:spacing w:after="120" w:line="276" w:lineRule="auto"/>
        <w:jc w:val="both"/>
        <w:rPr>
          <w:color w:val="384575"/>
        </w:rPr>
      </w:pPr>
      <w:r w:rsidRPr="005A1E3D">
        <w:rPr>
          <w:i/>
          <w:color w:val="384575"/>
        </w:rPr>
        <w:t xml:space="preserve">11. Rozsudkem ze dne 6. listopadu 2018 (C-569/16 </w:t>
      </w:r>
      <w:proofErr w:type="spellStart"/>
      <w:r w:rsidRPr="005A1E3D">
        <w:rPr>
          <w:i/>
          <w:color w:val="384575"/>
        </w:rPr>
        <w:t>Stadt</w:t>
      </w:r>
      <w:proofErr w:type="spellEnd"/>
      <w:r w:rsidRPr="005A1E3D">
        <w:rPr>
          <w:i/>
          <w:color w:val="384575"/>
        </w:rPr>
        <w:t xml:space="preserve"> </w:t>
      </w:r>
      <w:proofErr w:type="spellStart"/>
      <w:r w:rsidRPr="005A1E3D">
        <w:rPr>
          <w:i/>
          <w:color w:val="384575"/>
        </w:rPr>
        <w:t>Wuppertal</w:t>
      </w:r>
      <w:proofErr w:type="spellEnd"/>
      <w:r w:rsidRPr="005A1E3D">
        <w:rPr>
          <w:i/>
          <w:color w:val="384575"/>
        </w:rPr>
        <w:t xml:space="preserve"> v. Bauer</w:t>
      </w:r>
      <w:r w:rsidR="00460264" w:rsidRPr="005A1E3D">
        <w:rPr>
          <w:i/>
          <w:color w:val="384575"/>
        </w:rPr>
        <w:t xml:space="preserve"> a </w:t>
      </w:r>
      <w:r w:rsidRPr="005A1E3D">
        <w:rPr>
          <w:i/>
          <w:color w:val="384575"/>
        </w:rPr>
        <w:t xml:space="preserve">C-570/16 </w:t>
      </w:r>
      <w:proofErr w:type="spellStart"/>
      <w:r w:rsidRPr="005A1E3D">
        <w:rPr>
          <w:i/>
          <w:color w:val="384575"/>
        </w:rPr>
        <w:t>Willmeroth</w:t>
      </w:r>
      <w:proofErr w:type="spellEnd"/>
      <w:r w:rsidRPr="005A1E3D">
        <w:rPr>
          <w:i/>
          <w:color w:val="384575"/>
        </w:rPr>
        <w:t xml:space="preserve"> v. </w:t>
      </w:r>
      <w:proofErr w:type="spellStart"/>
      <w:r w:rsidRPr="005A1E3D">
        <w:rPr>
          <w:i/>
          <w:color w:val="384575"/>
        </w:rPr>
        <w:t>Broßonn</w:t>
      </w:r>
      <w:proofErr w:type="spellEnd"/>
      <w:r w:rsidRPr="005A1E3D">
        <w:rPr>
          <w:i/>
          <w:color w:val="384575"/>
        </w:rPr>
        <w:t>) Soudní dvůr Evropské unie rozhodl, že pokud není možné vyložit vnitrostátní právní úpravu tak, aby byl zajištěn soulad</w:t>
      </w:r>
      <w:r w:rsidR="00460264" w:rsidRPr="005A1E3D">
        <w:rPr>
          <w:i/>
          <w:color w:val="384575"/>
        </w:rPr>
        <w:t xml:space="preserve"> s </w:t>
      </w:r>
      <w:r w:rsidRPr="005A1E3D">
        <w:rPr>
          <w:i/>
          <w:color w:val="384575"/>
        </w:rPr>
        <w:t>článkem 7 směrnice 2003/88/ES</w:t>
      </w:r>
      <w:r w:rsidR="00460264" w:rsidRPr="005A1E3D">
        <w:rPr>
          <w:i/>
          <w:color w:val="384575"/>
        </w:rPr>
        <w:t xml:space="preserve"> a čl. </w:t>
      </w:r>
      <w:r w:rsidRPr="005A1E3D">
        <w:rPr>
          <w:i/>
          <w:color w:val="384575"/>
        </w:rPr>
        <w:t>31 odst. 2 Listiny základních práv, vnitrostátní soud je povinen tuto vnitrostátní právní úpravu nepoužít. Soudní dvůr Evropské unie upřesnil, že tuto povinnost ukládá vnitrostátnímu soudu článek 7 směrnice 2003/88/ES</w:t>
      </w:r>
      <w:r w:rsidR="00460264" w:rsidRPr="005A1E3D">
        <w:rPr>
          <w:i/>
          <w:color w:val="384575"/>
        </w:rPr>
        <w:t xml:space="preserve"> a čl. </w:t>
      </w:r>
      <w:r w:rsidRPr="005A1E3D">
        <w:rPr>
          <w:i/>
          <w:color w:val="384575"/>
        </w:rPr>
        <w:t>31 odst. 2 Listiny základních práv</w:t>
      </w:r>
      <w:r w:rsidR="00460264" w:rsidRPr="005A1E3D">
        <w:rPr>
          <w:i/>
          <w:color w:val="384575"/>
        </w:rPr>
        <w:t xml:space="preserve"> v </w:t>
      </w:r>
      <w:r w:rsidRPr="005A1E3D">
        <w:rPr>
          <w:i/>
          <w:color w:val="384575"/>
        </w:rPr>
        <w:t>případě, že se jedná</w:t>
      </w:r>
      <w:r w:rsidR="00460264" w:rsidRPr="005A1E3D">
        <w:rPr>
          <w:i/>
          <w:color w:val="384575"/>
        </w:rPr>
        <w:t xml:space="preserve"> o </w:t>
      </w:r>
      <w:r w:rsidRPr="005A1E3D">
        <w:rPr>
          <w:i/>
          <w:color w:val="384575"/>
        </w:rPr>
        <w:t>spor mezi osobou požívající práva na dovolenou</w:t>
      </w:r>
      <w:r w:rsidR="00460264" w:rsidRPr="005A1E3D">
        <w:rPr>
          <w:i/>
          <w:color w:val="384575"/>
        </w:rPr>
        <w:t xml:space="preserve"> a </w:t>
      </w:r>
      <w:r w:rsidRPr="005A1E3D">
        <w:rPr>
          <w:i/>
          <w:color w:val="384575"/>
        </w:rPr>
        <w:t>zaměstnavatelem, který má postavení orgánu veřejné moci,</w:t>
      </w:r>
      <w:r w:rsidR="00460264" w:rsidRPr="005A1E3D">
        <w:rPr>
          <w:i/>
          <w:color w:val="384575"/>
        </w:rPr>
        <w:t xml:space="preserve"> a </w:t>
      </w:r>
      <w:r w:rsidRPr="005A1E3D">
        <w:rPr>
          <w:i/>
          <w:color w:val="384575"/>
        </w:rPr>
        <w:t>druhé</w:t>
      </w:r>
      <w:r w:rsidR="00460264" w:rsidRPr="005A1E3D">
        <w:rPr>
          <w:i/>
          <w:color w:val="384575"/>
        </w:rPr>
        <w:t xml:space="preserve"> z </w:t>
      </w:r>
      <w:r w:rsidRPr="005A1E3D">
        <w:rPr>
          <w:i/>
          <w:color w:val="384575"/>
        </w:rPr>
        <w:t>uvedených ustanovení</w:t>
      </w:r>
      <w:r w:rsidR="00460264" w:rsidRPr="005A1E3D">
        <w:rPr>
          <w:i/>
          <w:color w:val="384575"/>
        </w:rPr>
        <w:t xml:space="preserve"> v </w:t>
      </w:r>
      <w:r w:rsidRPr="005A1E3D">
        <w:rPr>
          <w:i/>
          <w:color w:val="384575"/>
        </w:rPr>
        <w:t>případě, že se jedná</w:t>
      </w:r>
      <w:r w:rsidR="00460264" w:rsidRPr="005A1E3D">
        <w:rPr>
          <w:i/>
          <w:color w:val="384575"/>
        </w:rPr>
        <w:t xml:space="preserve"> o </w:t>
      </w:r>
      <w:r w:rsidRPr="005A1E3D">
        <w:rPr>
          <w:i/>
          <w:color w:val="384575"/>
        </w:rPr>
        <w:t>spor mezi touto osobou</w:t>
      </w:r>
      <w:r w:rsidR="00460264" w:rsidRPr="005A1E3D">
        <w:rPr>
          <w:i/>
          <w:color w:val="384575"/>
        </w:rPr>
        <w:t xml:space="preserve"> a </w:t>
      </w:r>
      <w:r w:rsidRPr="005A1E3D">
        <w:rPr>
          <w:i/>
          <w:color w:val="384575"/>
        </w:rPr>
        <w:t>zaměstnavatelem, který má postavení soukromé osoby.</w:t>
      </w:r>
    </w:p>
    <w:p w14:paraId="28268BB4" w14:textId="77777777" w:rsidR="0049009B" w:rsidRPr="005A1E3D" w:rsidRDefault="0049009B" w:rsidP="0049009B">
      <w:pPr>
        <w:spacing w:after="120" w:line="276" w:lineRule="auto"/>
        <w:jc w:val="both"/>
        <w:rPr>
          <w:i/>
          <w:color w:val="384575"/>
        </w:rPr>
      </w:pPr>
      <w:r w:rsidRPr="005A1E3D">
        <w:rPr>
          <w:i/>
          <w:color w:val="384575"/>
        </w:rPr>
        <w:t>[…]</w:t>
      </w:r>
    </w:p>
    <w:p w14:paraId="69CA300F" w14:textId="77777777" w:rsidR="0049009B" w:rsidRPr="005A1E3D" w:rsidRDefault="0049009B" w:rsidP="0049009B">
      <w:pPr>
        <w:spacing w:after="120" w:line="276" w:lineRule="auto"/>
        <w:jc w:val="both"/>
        <w:rPr>
          <w:color w:val="384575"/>
        </w:rPr>
      </w:pPr>
      <w:r w:rsidRPr="005A1E3D">
        <w:rPr>
          <w:i/>
          <w:color w:val="384575"/>
        </w:rPr>
        <w:t>15. Je proto nutné částečně nepoužít ustanovení článku L. 3141-3 zákoníku práce</w:t>
      </w:r>
      <w:r w:rsidR="00460264" w:rsidRPr="005A1E3D">
        <w:rPr>
          <w:i/>
          <w:color w:val="384575"/>
        </w:rPr>
        <w:t xml:space="preserve"> v </w:t>
      </w:r>
      <w:r w:rsidRPr="005A1E3D">
        <w:rPr>
          <w:i/>
          <w:color w:val="384575"/>
        </w:rPr>
        <w:t>rozsahu,</w:t>
      </w:r>
      <w:r w:rsidR="00460264" w:rsidRPr="005A1E3D">
        <w:rPr>
          <w:i/>
          <w:color w:val="384575"/>
        </w:rPr>
        <w:t xml:space="preserve"> v </w:t>
      </w:r>
      <w:r w:rsidRPr="005A1E3D">
        <w:rPr>
          <w:i/>
          <w:color w:val="384575"/>
        </w:rPr>
        <w:t>němž umožňují částečně rozhodnout</w:t>
      </w:r>
      <w:r w:rsidR="00460264" w:rsidRPr="005A1E3D">
        <w:rPr>
          <w:i/>
          <w:color w:val="384575"/>
        </w:rPr>
        <w:t xml:space="preserve"> o </w:t>
      </w:r>
      <w:r w:rsidRPr="005A1E3D">
        <w:rPr>
          <w:i/>
          <w:color w:val="384575"/>
        </w:rPr>
        <w:t>nabytí práv na placenou dovolenou zaměstnancem, jehož pracovní smlouva byla pozastavena</w:t>
      </w:r>
      <w:r w:rsidR="00460264" w:rsidRPr="005A1E3D">
        <w:rPr>
          <w:i/>
          <w:color w:val="384575"/>
        </w:rPr>
        <w:t xml:space="preserve"> v </w:t>
      </w:r>
      <w:r w:rsidRPr="005A1E3D">
        <w:rPr>
          <w:i/>
          <w:color w:val="384575"/>
        </w:rPr>
        <w:t>důsledku zastavení práce</w:t>
      </w:r>
      <w:r w:rsidR="00460264" w:rsidRPr="005A1E3D">
        <w:rPr>
          <w:i/>
          <w:color w:val="384575"/>
        </w:rPr>
        <w:t xml:space="preserve"> z </w:t>
      </w:r>
      <w:r w:rsidRPr="005A1E3D">
        <w:rPr>
          <w:i/>
          <w:color w:val="384575"/>
        </w:rPr>
        <w:t>důvodu nemoci jiné než nemoci</w:t>
      </w:r>
      <w:r w:rsidR="00460264" w:rsidRPr="005A1E3D">
        <w:rPr>
          <w:i/>
          <w:color w:val="384575"/>
        </w:rPr>
        <w:t xml:space="preserve"> z </w:t>
      </w:r>
      <w:r w:rsidRPr="005A1E3D">
        <w:rPr>
          <w:i/>
          <w:color w:val="384575"/>
        </w:rPr>
        <w:t>povolání,</w:t>
      </w:r>
      <w:r w:rsidR="00460264" w:rsidRPr="005A1E3D">
        <w:rPr>
          <w:i/>
          <w:color w:val="384575"/>
        </w:rPr>
        <w:t xml:space="preserve"> a </w:t>
      </w:r>
      <w:r w:rsidRPr="005A1E3D">
        <w:rPr>
          <w:i/>
          <w:color w:val="384575"/>
        </w:rPr>
        <w:t>rozhodnout, že zaměstnanec může uplatnit svá práva na placenou dovolenou za toto období za použití ustanovení článků L. 3141-3</w:t>
      </w:r>
      <w:r w:rsidR="00460264" w:rsidRPr="005A1E3D">
        <w:rPr>
          <w:i/>
          <w:color w:val="384575"/>
        </w:rPr>
        <w:t xml:space="preserve"> a </w:t>
      </w:r>
      <w:r w:rsidRPr="005A1E3D">
        <w:rPr>
          <w:i/>
          <w:color w:val="384575"/>
        </w:rPr>
        <w:t>L. 3141-9 zákoníku práce.“</w:t>
      </w:r>
    </w:p>
    <w:p w14:paraId="0CA2AE15" w14:textId="77777777" w:rsidR="00964A3A" w:rsidRPr="007D56D6" w:rsidRDefault="00964A3A" w:rsidP="0049009B">
      <w:pPr>
        <w:spacing w:after="120" w:line="276" w:lineRule="auto"/>
        <w:jc w:val="both"/>
      </w:pPr>
    </w:p>
    <w:p w14:paraId="79F228E0" w14:textId="5A170B57" w:rsidR="00A76799" w:rsidRDefault="00ED6B1D" w:rsidP="00A76799">
      <w:pPr>
        <w:jc w:val="both"/>
        <w:rPr>
          <w:b/>
          <w:bCs/>
          <w:i/>
          <w:color w:val="2F55A2"/>
        </w:rPr>
      </w:pPr>
      <w:r w:rsidRPr="00A76799">
        <w:rPr>
          <w:b/>
          <w:bCs/>
          <w:i/>
          <w:color w:val="2F55A2"/>
        </w:rPr>
        <w:t>D. Příklady použití Listiny vnitrostátním soudem</w:t>
      </w:r>
    </w:p>
    <w:p w14:paraId="41062EB9" w14:textId="77777777" w:rsidR="00A76799" w:rsidRDefault="00A76799" w:rsidP="00A76799">
      <w:pPr>
        <w:jc w:val="both"/>
      </w:pPr>
    </w:p>
    <w:p w14:paraId="03F78D9C" w14:textId="5C350AF4" w:rsidR="0049009B" w:rsidRPr="005A1E3D" w:rsidRDefault="0049009B" w:rsidP="0049009B">
      <w:pPr>
        <w:spacing w:after="120" w:line="276" w:lineRule="auto"/>
        <w:jc w:val="both"/>
        <w:rPr>
          <w:color w:val="384575"/>
        </w:rPr>
      </w:pPr>
      <w:r w:rsidRPr="005A1E3D">
        <w:rPr>
          <w:color w:val="384575"/>
        </w:rPr>
        <w:t>Ačkoli je pro francouzské soudy</w:t>
      </w:r>
      <w:r w:rsidR="00460264" w:rsidRPr="005A1E3D">
        <w:rPr>
          <w:color w:val="384575"/>
        </w:rPr>
        <w:t xml:space="preserve"> v </w:t>
      </w:r>
      <w:r w:rsidRPr="005A1E3D">
        <w:rPr>
          <w:color w:val="384575"/>
        </w:rPr>
        <w:t>současné době</w:t>
      </w:r>
      <w:r w:rsidR="00460264" w:rsidRPr="005A1E3D">
        <w:rPr>
          <w:color w:val="384575"/>
        </w:rPr>
        <w:t xml:space="preserve"> v </w:t>
      </w:r>
      <w:r w:rsidRPr="005A1E3D">
        <w:rPr>
          <w:color w:val="384575"/>
        </w:rPr>
        <w:t>praxi běžné používat Evropskou úmluvu</w:t>
      </w:r>
      <w:r w:rsidR="00460264" w:rsidRPr="005A1E3D">
        <w:rPr>
          <w:color w:val="384575"/>
        </w:rPr>
        <w:t xml:space="preserve"> o </w:t>
      </w:r>
      <w:r w:rsidRPr="005A1E3D">
        <w:rPr>
          <w:color w:val="384575"/>
        </w:rPr>
        <w:t>lidských právech, Listina stále není dostatečně využívána</w:t>
      </w:r>
      <w:r w:rsidR="00460264" w:rsidRPr="005A1E3D">
        <w:rPr>
          <w:color w:val="384575"/>
        </w:rPr>
        <w:t xml:space="preserve"> a </w:t>
      </w:r>
      <w:r w:rsidRPr="005A1E3D">
        <w:rPr>
          <w:color w:val="384575"/>
        </w:rPr>
        <w:t>má malý dopad na vnitrostátní rozhodnutí.</w:t>
      </w:r>
      <w:r w:rsidR="00460264" w:rsidRPr="005A1E3D">
        <w:rPr>
          <w:color w:val="384575"/>
        </w:rPr>
        <w:t xml:space="preserve"> V </w:t>
      </w:r>
      <w:r w:rsidRPr="005A1E3D">
        <w:rPr>
          <w:color w:val="384575"/>
        </w:rPr>
        <w:t>důsledku toho neexistuje mnoho judikatury. Bylo dosaženo pokroku, nicméně faktem zůstává, že přístup francouzských soudců není vždy</w:t>
      </w:r>
      <w:r w:rsidR="00460264" w:rsidRPr="005A1E3D">
        <w:rPr>
          <w:color w:val="384575"/>
        </w:rPr>
        <w:t xml:space="preserve"> v </w:t>
      </w:r>
      <w:r w:rsidRPr="005A1E3D">
        <w:rPr>
          <w:color w:val="384575"/>
        </w:rPr>
        <w:t>souladu</w:t>
      </w:r>
      <w:r w:rsidR="00460264" w:rsidRPr="005A1E3D">
        <w:rPr>
          <w:color w:val="384575"/>
        </w:rPr>
        <w:t xml:space="preserve"> </w:t>
      </w:r>
      <w:r w:rsidR="00460264" w:rsidRPr="005A1E3D">
        <w:rPr>
          <w:color w:val="384575"/>
        </w:rPr>
        <w:lastRenderedPageBreak/>
        <w:t>s </w:t>
      </w:r>
      <w:r w:rsidRPr="005A1E3D">
        <w:rPr>
          <w:color w:val="384575"/>
        </w:rPr>
        <w:t>unijním právem, ať už proto, že se neobrátí na Soudní dvůr</w:t>
      </w:r>
      <w:r w:rsidR="00460264" w:rsidRPr="005A1E3D">
        <w:rPr>
          <w:color w:val="384575"/>
        </w:rPr>
        <w:t xml:space="preserve"> v </w:t>
      </w:r>
      <w:r w:rsidRPr="005A1E3D">
        <w:rPr>
          <w:color w:val="384575"/>
        </w:rPr>
        <w:t>případě, kdy je žádost</w:t>
      </w:r>
      <w:r w:rsidR="00460264" w:rsidRPr="005A1E3D">
        <w:rPr>
          <w:color w:val="384575"/>
        </w:rPr>
        <w:t xml:space="preserve"> o </w:t>
      </w:r>
      <w:r w:rsidRPr="005A1E3D">
        <w:rPr>
          <w:color w:val="384575"/>
        </w:rPr>
        <w:t>rozhodnutí</w:t>
      </w:r>
      <w:r w:rsidR="00460264" w:rsidRPr="005A1E3D">
        <w:rPr>
          <w:color w:val="384575"/>
        </w:rPr>
        <w:t xml:space="preserve"> o </w:t>
      </w:r>
      <w:r w:rsidRPr="005A1E3D">
        <w:rPr>
          <w:color w:val="384575"/>
        </w:rPr>
        <w:t>předběžné otázce odůvodněná, nebo proto, že Soudnímu dvoru oponují.</w:t>
      </w:r>
    </w:p>
    <w:p w14:paraId="4B003C4A" w14:textId="77777777" w:rsidR="0049009B" w:rsidRPr="005A1E3D" w:rsidRDefault="0049009B" w:rsidP="0049009B">
      <w:pPr>
        <w:spacing w:after="120" w:line="276" w:lineRule="auto"/>
        <w:jc w:val="both"/>
        <w:rPr>
          <w:color w:val="384575"/>
        </w:rPr>
      </w:pPr>
      <w:r w:rsidRPr="005A1E3D">
        <w:rPr>
          <w:color w:val="384575"/>
        </w:rPr>
        <w:t>Velmi často se stává, že Státní rada, jíž byl předložen žalobní důvod, jehož základem je Evropská úmluva</w:t>
      </w:r>
      <w:r w:rsidR="00460264" w:rsidRPr="005A1E3D">
        <w:rPr>
          <w:color w:val="384575"/>
        </w:rPr>
        <w:t xml:space="preserve"> a </w:t>
      </w:r>
      <w:r w:rsidRPr="005A1E3D">
        <w:rPr>
          <w:color w:val="384575"/>
        </w:rPr>
        <w:t>Listina, reaguje na Úmluvu Rady Evropy, přičemž uvede, že jde</w:t>
      </w:r>
      <w:r w:rsidR="00460264" w:rsidRPr="005A1E3D">
        <w:rPr>
          <w:color w:val="384575"/>
        </w:rPr>
        <w:t xml:space="preserve"> o </w:t>
      </w:r>
      <w:r w:rsidRPr="005A1E3D">
        <w:rPr>
          <w:color w:val="384575"/>
        </w:rPr>
        <w:t>stejné řešení, pokud jde</w:t>
      </w:r>
      <w:r w:rsidR="00460264" w:rsidRPr="005A1E3D">
        <w:rPr>
          <w:color w:val="384575"/>
        </w:rPr>
        <w:t xml:space="preserve"> o </w:t>
      </w:r>
      <w:r w:rsidRPr="005A1E3D">
        <w:rPr>
          <w:color w:val="384575"/>
        </w:rPr>
        <w:t>Listinu.</w:t>
      </w:r>
    </w:p>
    <w:p w14:paraId="00A4B3CD" w14:textId="4992701A" w:rsidR="00952095" w:rsidRPr="005A1E3D" w:rsidRDefault="0049009B" w:rsidP="0049009B">
      <w:pPr>
        <w:spacing w:after="120" w:line="276" w:lineRule="auto"/>
        <w:jc w:val="both"/>
        <w:rPr>
          <w:color w:val="384575"/>
        </w:rPr>
      </w:pPr>
      <w:r w:rsidRPr="005A1E3D">
        <w:rPr>
          <w:color w:val="384575"/>
        </w:rPr>
        <w:t>Některé</w:t>
      </w:r>
      <w:r w:rsidR="00460264" w:rsidRPr="005A1E3D">
        <w:rPr>
          <w:color w:val="384575"/>
        </w:rPr>
        <w:t xml:space="preserve"> z </w:t>
      </w:r>
      <w:r w:rsidRPr="005A1E3D">
        <w:rPr>
          <w:color w:val="384575"/>
        </w:rPr>
        <w:t>případů řešených</w:t>
      </w:r>
      <w:r w:rsidR="00460264" w:rsidRPr="005A1E3D">
        <w:rPr>
          <w:color w:val="384575"/>
        </w:rPr>
        <w:t xml:space="preserve"> v </w:t>
      </w:r>
      <w:r w:rsidRPr="005A1E3D">
        <w:rPr>
          <w:color w:val="384575"/>
        </w:rPr>
        <w:t>rámci francouzské soudní příslušnosti, které jsou považovány za zajímavé, naleznete níže:</w:t>
      </w:r>
    </w:p>
    <w:p w14:paraId="537D1C4F" w14:textId="77777777" w:rsidR="0049009B" w:rsidRDefault="0049009B" w:rsidP="0049009B">
      <w:pPr>
        <w:pStyle w:val="Odstavecseseznamem"/>
        <w:numPr>
          <w:ilvl w:val="0"/>
          <w:numId w:val="43"/>
        </w:numPr>
        <w:jc w:val="both"/>
        <w:rPr>
          <w:color w:val="2F55A2"/>
        </w:rPr>
      </w:pPr>
      <w:r w:rsidRPr="00952095">
        <w:rPr>
          <w:b/>
          <w:bCs/>
          <w:color w:val="2F55A2"/>
        </w:rPr>
        <w:t>Věci týkající se azylu:</w:t>
      </w:r>
      <w:r w:rsidRPr="00952095">
        <w:rPr>
          <w:color w:val="2F55A2"/>
        </w:rPr>
        <w:t xml:space="preserve"> Státní rada, </w:t>
      </w:r>
      <w:proofErr w:type="gramStart"/>
      <w:r w:rsidRPr="00952095">
        <w:rPr>
          <w:color w:val="2F55A2"/>
        </w:rPr>
        <w:t>druhý–sedmý</w:t>
      </w:r>
      <w:proofErr w:type="gramEnd"/>
      <w:r w:rsidRPr="00952095">
        <w:rPr>
          <w:color w:val="2F55A2"/>
        </w:rPr>
        <w:t xml:space="preserve"> spojený senát, 30/01/2017, 394686</w:t>
      </w:r>
    </w:p>
    <w:p w14:paraId="78732C8F" w14:textId="77777777" w:rsidR="00952095" w:rsidRPr="00952095" w:rsidRDefault="00952095" w:rsidP="00952095">
      <w:pPr>
        <w:pStyle w:val="Odstavecseseznamem"/>
        <w:jc w:val="both"/>
        <w:rPr>
          <w:color w:val="2F55A2"/>
        </w:rPr>
      </w:pPr>
    </w:p>
    <w:p w14:paraId="01B3EFB9" w14:textId="77777777" w:rsidR="0049009B" w:rsidRPr="005A1E3D" w:rsidRDefault="0049009B" w:rsidP="0049009B">
      <w:pPr>
        <w:spacing w:after="120" w:line="276" w:lineRule="auto"/>
        <w:jc w:val="both"/>
        <w:rPr>
          <w:color w:val="384575"/>
          <w:highlight w:val="yellow"/>
        </w:rPr>
      </w:pPr>
      <w:proofErr w:type="spellStart"/>
      <w:r w:rsidRPr="005A1E3D">
        <w:rPr>
          <w:color w:val="384575"/>
        </w:rPr>
        <w:t>Code</w:t>
      </w:r>
      <w:proofErr w:type="spellEnd"/>
      <w:r w:rsidRPr="005A1E3D">
        <w:rPr>
          <w:color w:val="384575"/>
        </w:rPr>
        <w:t xml:space="preserve"> de </w:t>
      </w:r>
      <w:proofErr w:type="spellStart"/>
      <w:r w:rsidRPr="005A1E3D">
        <w:rPr>
          <w:color w:val="384575"/>
        </w:rPr>
        <w:t>l'Entrée</w:t>
      </w:r>
      <w:proofErr w:type="spellEnd"/>
      <w:r w:rsidRPr="005A1E3D">
        <w:rPr>
          <w:color w:val="384575"/>
        </w:rPr>
        <w:t xml:space="preserve"> et </w:t>
      </w:r>
      <w:proofErr w:type="spellStart"/>
      <w:r w:rsidRPr="005A1E3D">
        <w:rPr>
          <w:color w:val="384575"/>
        </w:rPr>
        <w:t>du</w:t>
      </w:r>
      <w:proofErr w:type="spellEnd"/>
      <w:r w:rsidRPr="005A1E3D">
        <w:rPr>
          <w:color w:val="384575"/>
        </w:rPr>
        <w:t xml:space="preserve"> </w:t>
      </w:r>
      <w:proofErr w:type="spellStart"/>
      <w:r w:rsidRPr="005A1E3D">
        <w:rPr>
          <w:color w:val="384575"/>
        </w:rPr>
        <w:t>Séjour</w:t>
      </w:r>
      <w:proofErr w:type="spellEnd"/>
      <w:r w:rsidRPr="005A1E3D">
        <w:rPr>
          <w:color w:val="384575"/>
        </w:rPr>
        <w:t xml:space="preserve"> des </w:t>
      </w:r>
      <w:proofErr w:type="spellStart"/>
      <w:r w:rsidRPr="005A1E3D">
        <w:rPr>
          <w:color w:val="384575"/>
        </w:rPr>
        <w:t>Etrangers</w:t>
      </w:r>
      <w:proofErr w:type="spellEnd"/>
      <w:r w:rsidRPr="005A1E3D">
        <w:rPr>
          <w:color w:val="384575"/>
        </w:rPr>
        <w:t xml:space="preserve"> et </w:t>
      </w:r>
      <w:proofErr w:type="spellStart"/>
      <w:r w:rsidRPr="005A1E3D">
        <w:rPr>
          <w:color w:val="384575"/>
        </w:rPr>
        <w:t>du</w:t>
      </w:r>
      <w:proofErr w:type="spellEnd"/>
      <w:r w:rsidRPr="005A1E3D">
        <w:rPr>
          <w:color w:val="384575"/>
        </w:rPr>
        <w:t xml:space="preserve"> </w:t>
      </w:r>
      <w:proofErr w:type="spellStart"/>
      <w:r w:rsidRPr="005A1E3D">
        <w:rPr>
          <w:color w:val="384575"/>
        </w:rPr>
        <w:t>Droit</w:t>
      </w:r>
      <w:proofErr w:type="spellEnd"/>
      <w:r w:rsidRPr="005A1E3D">
        <w:rPr>
          <w:color w:val="384575"/>
        </w:rPr>
        <w:t xml:space="preserve"> </w:t>
      </w:r>
      <w:proofErr w:type="spellStart"/>
      <w:r w:rsidRPr="005A1E3D">
        <w:rPr>
          <w:color w:val="384575"/>
        </w:rPr>
        <w:t>d'Asile</w:t>
      </w:r>
      <w:proofErr w:type="spellEnd"/>
      <w:r w:rsidRPr="005A1E3D">
        <w:rPr>
          <w:color w:val="384575"/>
        </w:rPr>
        <w:t xml:space="preserve"> (Zákon</w:t>
      </w:r>
      <w:r w:rsidR="00460264" w:rsidRPr="005A1E3D">
        <w:rPr>
          <w:color w:val="384575"/>
        </w:rPr>
        <w:t xml:space="preserve"> o </w:t>
      </w:r>
      <w:r w:rsidRPr="005A1E3D">
        <w:rPr>
          <w:color w:val="384575"/>
        </w:rPr>
        <w:t>vstupu</w:t>
      </w:r>
      <w:r w:rsidR="00460264" w:rsidRPr="005A1E3D">
        <w:rPr>
          <w:color w:val="384575"/>
        </w:rPr>
        <w:t xml:space="preserve"> a </w:t>
      </w:r>
      <w:r w:rsidRPr="005A1E3D">
        <w:rPr>
          <w:color w:val="384575"/>
        </w:rPr>
        <w:t>pobytu cizinců</w:t>
      </w:r>
      <w:r w:rsidR="00460264" w:rsidRPr="005A1E3D">
        <w:rPr>
          <w:color w:val="384575"/>
        </w:rPr>
        <w:t xml:space="preserve"> a </w:t>
      </w:r>
      <w:r w:rsidRPr="005A1E3D">
        <w:rPr>
          <w:color w:val="384575"/>
        </w:rPr>
        <w:t>právu na azyl, dále jen zákona „CESEDA“) stanovil možnost snímání otisků prstů</w:t>
      </w:r>
      <w:r w:rsidR="00460264" w:rsidRPr="005A1E3D">
        <w:rPr>
          <w:color w:val="384575"/>
        </w:rPr>
        <w:t xml:space="preserve"> v </w:t>
      </w:r>
      <w:r w:rsidRPr="005A1E3D">
        <w:rPr>
          <w:color w:val="384575"/>
        </w:rPr>
        <w:t>souladu</w:t>
      </w:r>
      <w:r w:rsidR="00460264" w:rsidRPr="005A1E3D">
        <w:rPr>
          <w:color w:val="384575"/>
        </w:rPr>
        <w:t xml:space="preserve"> s </w:t>
      </w:r>
      <w:r w:rsidRPr="005A1E3D">
        <w:rPr>
          <w:color w:val="384575"/>
        </w:rPr>
        <w:t xml:space="preserve">nařízením (EU) </w:t>
      </w:r>
      <w:r w:rsidR="00460264" w:rsidRPr="005A1E3D">
        <w:rPr>
          <w:color w:val="384575"/>
        </w:rPr>
        <w:t>č. </w:t>
      </w:r>
      <w:r w:rsidRPr="005A1E3D">
        <w:rPr>
          <w:color w:val="384575"/>
        </w:rPr>
        <w:t xml:space="preserve">603/2013 ze dne 26. června 2013 „o systému </w:t>
      </w:r>
      <w:proofErr w:type="spellStart"/>
      <w:r w:rsidRPr="005A1E3D">
        <w:rPr>
          <w:color w:val="384575"/>
        </w:rPr>
        <w:t>Eurodac</w:t>
      </w:r>
      <w:proofErr w:type="spellEnd"/>
      <w:r w:rsidRPr="005A1E3D">
        <w:rPr>
          <w:color w:val="384575"/>
        </w:rPr>
        <w:t xml:space="preserve"> pro porovnávání otisků prstů žadatelů</w:t>
      </w:r>
      <w:r w:rsidR="00460264" w:rsidRPr="005A1E3D">
        <w:rPr>
          <w:color w:val="384575"/>
        </w:rPr>
        <w:t xml:space="preserve"> o </w:t>
      </w:r>
      <w:r w:rsidRPr="005A1E3D">
        <w:rPr>
          <w:color w:val="384575"/>
        </w:rPr>
        <w:t>azyl za účelem určení členského státu příslušného</w:t>
      </w:r>
      <w:r w:rsidR="00460264" w:rsidRPr="005A1E3D">
        <w:rPr>
          <w:color w:val="384575"/>
        </w:rPr>
        <w:t xml:space="preserve"> k </w:t>
      </w:r>
      <w:r w:rsidRPr="005A1E3D">
        <w:rPr>
          <w:color w:val="384575"/>
        </w:rPr>
        <w:t>posuzování žádosti</w:t>
      </w:r>
      <w:r w:rsidR="00460264" w:rsidRPr="005A1E3D">
        <w:rPr>
          <w:color w:val="384575"/>
        </w:rPr>
        <w:t xml:space="preserve"> o </w:t>
      </w:r>
      <w:r w:rsidRPr="005A1E3D">
        <w:rPr>
          <w:color w:val="384575"/>
        </w:rPr>
        <w:t>mezinárodní ochranu podané</w:t>
      </w:r>
      <w:r w:rsidR="00460264" w:rsidRPr="005A1E3D">
        <w:rPr>
          <w:color w:val="384575"/>
        </w:rPr>
        <w:t xml:space="preserve"> v </w:t>
      </w:r>
      <w:r w:rsidRPr="005A1E3D">
        <w:rPr>
          <w:color w:val="384575"/>
        </w:rPr>
        <w:t>některém</w:t>
      </w:r>
      <w:r w:rsidR="00460264" w:rsidRPr="005A1E3D">
        <w:rPr>
          <w:color w:val="384575"/>
        </w:rPr>
        <w:t xml:space="preserve"> z </w:t>
      </w:r>
      <w:r w:rsidRPr="005A1E3D">
        <w:rPr>
          <w:color w:val="384575"/>
        </w:rPr>
        <w:t xml:space="preserve">členských států“. Sdružení na obranu migrantů napadla zákonnost vyhlášky podle Listiny základních práv. </w:t>
      </w:r>
    </w:p>
    <w:p w14:paraId="6F004AB2" w14:textId="77777777" w:rsidR="0049009B" w:rsidRPr="005A1E3D" w:rsidRDefault="0049009B" w:rsidP="0049009B">
      <w:pPr>
        <w:spacing w:after="120" w:line="276" w:lineRule="auto"/>
        <w:jc w:val="both"/>
        <w:rPr>
          <w:color w:val="384575"/>
        </w:rPr>
      </w:pPr>
      <w:r w:rsidRPr="005A1E3D">
        <w:rPr>
          <w:i/>
          <w:color w:val="384575"/>
        </w:rPr>
        <w:t>„Vzhledem</w:t>
      </w:r>
      <w:r w:rsidR="00460264" w:rsidRPr="005A1E3D">
        <w:rPr>
          <w:i/>
          <w:color w:val="384575"/>
        </w:rPr>
        <w:t xml:space="preserve"> k </w:t>
      </w:r>
      <w:r w:rsidRPr="005A1E3D">
        <w:rPr>
          <w:i/>
          <w:color w:val="384575"/>
        </w:rPr>
        <w:t>tomu, že</w:t>
      </w:r>
      <w:r w:rsidR="00460264" w:rsidRPr="005A1E3D">
        <w:rPr>
          <w:i/>
          <w:color w:val="384575"/>
        </w:rPr>
        <w:t xml:space="preserve"> v </w:t>
      </w:r>
      <w:r w:rsidRPr="005A1E3D">
        <w:rPr>
          <w:i/>
          <w:color w:val="384575"/>
        </w:rPr>
        <w:t>souladu</w:t>
      </w:r>
      <w:r w:rsidR="00460264" w:rsidRPr="005A1E3D">
        <w:rPr>
          <w:i/>
          <w:color w:val="384575"/>
        </w:rPr>
        <w:t xml:space="preserve"> s čl. </w:t>
      </w:r>
      <w:r w:rsidRPr="005A1E3D">
        <w:rPr>
          <w:i/>
          <w:color w:val="384575"/>
        </w:rPr>
        <w:t>52 odst. 1 Listiny základních práv Evropské unie musí být každé omezení výkonu práv</w:t>
      </w:r>
      <w:r w:rsidR="00460264" w:rsidRPr="005A1E3D">
        <w:rPr>
          <w:i/>
          <w:color w:val="384575"/>
        </w:rPr>
        <w:t xml:space="preserve"> a </w:t>
      </w:r>
      <w:r w:rsidRPr="005A1E3D">
        <w:rPr>
          <w:i/>
          <w:color w:val="384575"/>
        </w:rPr>
        <w:t>svobod zakotvených</w:t>
      </w:r>
      <w:r w:rsidR="00460264" w:rsidRPr="005A1E3D">
        <w:rPr>
          <w:i/>
          <w:color w:val="384575"/>
        </w:rPr>
        <w:t xml:space="preserve"> v </w:t>
      </w:r>
      <w:r w:rsidRPr="005A1E3D">
        <w:rPr>
          <w:i/>
          <w:color w:val="384575"/>
        </w:rPr>
        <w:t>Listině stanoveno zákonem, musí respektovat jejich podstatu</w:t>
      </w:r>
      <w:r w:rsidR="00460264" w:rsidRPr="005A1E3D">
        <w:rPr>
          <w:i/>
          <w:color w:val="384575"/>
        </w:rPr>
        <w:t xml:space="preserve"> a </w:t>
      </w:r>
      <w:r w:rsidRPr="005A1E3D">
        <w:rPr>
          <w:i/>
          <w:color w:val="384575"/>
        </w:rPr>
        <w:t>s výhradou zásady proporcionality mohou být tato práva omezena pouze tehdy, jsou-li nezbytná</w:t>
      </w:r>
      <w:r w:rsidR="00460264" w:rsidRPr="005A1E3D">
        <w:rPr>
          <w:i/>
          <w:color w:val="384575"/>
        </w:rPr>
        <w:t xml:space="preserve"> a </w:t>
      </w:r>
      <w:r w:rsidRPr="005A1E3D">
        <w:rPr>
          <w:i/>
          <w:color w:val="384575"/>
        </w:rPr>
        <w:t>skutečně odpovídají cílům obecného zájmu, které Evropská unie uznává, je třeba chránit práva</w:t>
      </w:r>
      <w:r w:rsidR="00460264" w:rsidRPr="005A1E3D">
        <w:rPr>
          <w:i/>
          <w:color w:val="384575"/>
        </w:rPr>
        <w:t xml:space="preserve"> a </w:t>
      </w:r>
      <w:r w:rsidRPr="005A1E3D">
        <w:rPr>
          <w:i/>
          <w:color w:val="384575"/>
        </w:rPr>
        <w:t>svobody druhých; vzhledem</w:t>
      </w:r>
      <w:r w:rsidR="00460264" w:rsidRPr="005A1E3D">
        <w:rPr>
          <w:i/>
          <w:color w:val="384575"/>
        </w:rPr>
        <w:t xml:space="preserve"> k </w:t>
      </w:r>
      <w:r w:rsidRPr="005A1E3D">
        <w:rPr>
          <w:i/>
          <w:color w:val="384575"/>
        </w:rPr>
        <w:t>tomu, že</w:t>
      </w:r>
      <w:r w:rsidR="00460264" w:rsidRPr="005A1E3D">
        <w:rPr>
          <w:i/>
          <w:color w:val="384575"/>
        </w:rPr>
        <w:t xml:space="preserve"> z </w:t>
      </w:r>
      <w:r w:rsidRPr="005A1E3D">
        <w:rPr>
          <w:i/>
          <w:color w:val="384575"/>
        </w:rPr>
        <w:t>judikatury Soudního dvora Evropské unie vyplývá, že boj proti mezinárodnímu terorismu za účelem zachování mezinárodního míru</w:t>
      </w:r>
      <w:r w:rsidR="00460264" w:rsidRPr="005A1E3D">
        <w:rPr>
          <w:i/>
          <w:color w:val="384575"/>
        </w:rPr>
        <w:t xml:space="preserve"> a </w:t>
      </w:r>
      <w:r w:rsidRPr="005A1E3D">
        <w:rPr>
          <w:i/>
          <w:color w:val="384575"/>
        </w:rPr>
        <w:t>bezpečnosti</w:t>
      </w:r>
      <w:r w:rsidR="00460264" w:rsidRPr="005A1E3D">
        <w:rPr>
          <w:i/>
          <w:color w:val="384575"/>
        </w:rPr>
        <w:t xml:space="preserve"> a </w:t>
      </w:r>
      <w:r w:rsidRPr="005A1E3D">
        <w:rPr>
          <w:i/>
          <w:color w:val="384575"/>
        </w:rPr>
        <w:t>boj proti závažné trestné činnosti za účelem zajištění veřejné bezpečnosti představuje cíl obecného zájmu Unie; vzhledem</w:t>
      </w:r>
      <w:r w:rsidR="00460264" w:rsidRPr="005A1E3D">
        <w:rPr>
          <w:i/>
          <w:color w:val="384575"/>
        </w:rPr>
        <w:t xml:space="preserve"> k </w:t>
      </w:r>
      <w:r w:rsidRPr="005A1E3D">
        <w:rPr>
          <w:i/>
          <w:color w:val="384575"/>
        </w:rPr>
        <w:t>tomu, že aniž by bylo třeba předložit Soudnímu dvoru Evropské unie předběžnou otázku,</w:t>
      </w:r>
      <w:r w:rsidR="00460264" w:rsidRPr="005A1E3D">
        <w:rPr>
          <w:i/>
          <w:color w:val="384575"/>
        </w:rPr>
        <w:t xml:space="preserve"> s </w:t>
      </w:r>
      <w:r w:rsidRPr="005A1E3D">
        <w:rPr>
          <w:i/>
          <w:color w:val="384575"/>
        </w:rPr>
        <w:t>ohledem na kritéria umožňující příslušným orgánům přístup</w:t>
      </w:r>
      <w:r w:rsidR="00460264" w:rsidRPr="005A1E3D">
        <w:rPr>
          <w:i/>
          <w:color w:val="384575"/>
        </w:rPr>
        <w:t xml:space="preserve"> k </w:t>
      </w:r>
      <w:r w:rsidRPr="005A1E3D">
        <w:rPr>
          <w:i/>
          <w:color w:val="384575"/>
        </w:rPr>
        <w:t>údajům obsaženým</w:t>
      </w:r>
      <w:r w:rsidR="00460264" w:rsidRPr="005A1E3D">
        <w:rPr>
          <w:i/>
          <w:color w:val="384575"/>
        </w:rPr>
        <w:t xml:space="preserve"> v </w:t>
      </w:r>
      <w:r w:rsidRPr="005A1E3D">
        <w:rPr>
          <w:i/>
          <w:color w:val="384575"/>
        </w:rPr>
        <w:t xml:space="preserve">systému </w:t>
      </w:r>
      <w:proofErr w:type="spellStart"/>
      <w:r w:rsidRPr="005A1E3D">
        <w:rPr>
          <w:i/>
          <w:color w:val="384575"/>
        </w:rPr>
        <w:t>Eurodac</w:t>
      </w:r>
      <w:proofErr w:type="spellEnd"/>
      <w:r w:rsidR="00460264" w:rsidRPr="005A1E3D">
        <w:rPr>
          <w:i/>
          <w:color w:val="384575"/>
        </w:rPr>
        <w:t xml:space="preserve"> a </w:t>
      </w:r>
      <w:r w:rsidRPr="005A1E3D">
        <w:rPr>
          <w:i/>
          <w:color w:val="384575"/>
        </w:rPr>
        <w:t>na záruky stanovené pro použití těchto údajů</w:t>
      </w:r>
      <w:r w:rsidR="00460264" w:rsidRPr="005A1E3D">
        <w:rPr>
          <w:i/>
          <w:color w:val="384575"/>
        </w:rPr>
        <w:t xml:space="preserve"> s </w:t>
      </w:r>
      <w:r w:rsidRPr="005A1E3D">
        <w:rPr>
          <w:i/>
          <w:color w:val="384575"/>
        </w:rPr>
        <w:t>ohledem na sledovaný cíl, je</w:t>
      </w:r>
      <w:r w:rsidR="00460264" w:rsidRPr="005A1E3D">
        <w:rPr>
          <w:i/>
          <w:color w:val="384575"/>
        </w:rPr>
        <w:t xml:space="preserve"> z </w:t>
      </w:r>
      <w:r w:rsidRPr="005A1E3D">
        <w:rPr>
          <w:i/>
          <w:color w:val="384575"/>
        </w:rPr>
        <w:t xml:space="preserve">napadených ustanovení nařízení (EU) </w:t>
      </w:r>
      <w:r w:rsidR="00460264" w:rsidRPr="005A1E3D">
        <w:rPr>
          <w:i/>
          <w:color w:val="384575"/>
        </w:rPr>
        <w:t>č. </w:t>
      </w:r>
      <w:r w:rsidRPr="005A1E3D">
        <w:rPr>
          <w:i/>
          <w:color w:val="384575"/>
        </w:rPr>
        <w:t xml:space="preserve">603/2013 zřejmé, že nahlížení do systému </w:t>
      </w:r>
      <w:proofErr w:type="spellStart"/>
      <w:r w:rsidRPr="005A1E3D">
        <w:rPr>
          <w:i/>
          <w:color w:val="384575"/>
        </w:rPr>
        <w:t>Eurodac</w:t>
      </w:r>
      <w:proofErr w:type="spellEnd"/>
      <w:r w:rsidRPr="005A1E3D">
        <w:rPr>
          <w:i/>
          <w:color w:val="384575"/>
        </w:rPr>
        <w:t xml:space="preserve"> pro účely prosazování práva neporušuje články 8</w:t>
      </w:r>
      <w:r w:rsidR="00460264" w:rsidRPr="005A1E3D">
        <w:rPr>
          <w:i/>
          <w:color w:val="384575"/>
        </w:rPr>
        <w:t xml:space="preserve"> a </w:t>
      </w:r>
      <w:r w:rsidRPr="005A1E3D">
        <w:rPr>
          <w:i/>
          <w:color w:val="384575"/>
        </w:rPr>
        <w:t>18 Listiny základních práv Evropské unie.“</w:t>
      </w:r>
    </w:p>
    <w:p w14:paraId="0C9F3F88" w14:textId="77777777" w:rsidR="005A1E3D" w:rsidRPr="005A1E3D" w:rsidRDefault="0049009B" w:rsidP="00B760F4">
      <w:pPr>
        <w:pStyle w:val="Odstavecseseznamem"/>
        <w:numPr>
          <w:ilvl w:val="0"/>
          <w:numId w:val="43"/>
        </w:numPr>
        <w:spacing w:after="120" w:line="276" w:lineRule="auto"/>
        <w:jc w:val="both"/>
        <w:rPr>
          <w:color w:val="384575"/>
        </w:rPr>
      </w:pPr>
      <w:r w:rsidRPr="005A1E3D">
        <w:rPr>
          <w:b/>
          <w:bCs/>
          <w:color w:val="2F55A2"/>
        </w:rPr>
        <w:t>Ochrana údajů:</w:t>
      </w:r>
      <w:r w:rsidRPr="005A1E3D">
        <w:rPr>
          <w:color w:val="2F55A2"/>
        </w:rPr>
        <w:t xml:space="preserve"> Státní rada, kolegium pro sporná řízení, 21. dubna 2021, Francouzská datová síť, </w:t>
      </w:r>
      <w:r w:rsidR="00460264" w:rsidRPr="005A1E3D">
        <w:rPr>
          <w:color w:val="2F55A2"/>
        </w:rPr>
        <w:t>č. </w:t>
      </w:r>
      <w:r w:rsidRPr="005A1E3D">
        <w:rPr>
          <w:color w:val="2F55A2"/>
        </w:rPr>
        <w:t>393099</w:t>
      </w:r>
    </w:p>
    <w:p w14:paraId="6D0AA534" w14:textId="79C09F8C" w:rsidR="0049009B" w:rsidRPr="005A1E3D" w:rsidRDefault="0049009B" w:rsidP="005A1E3D">
      <w:pPr>
        <w:spacing w:after="120" w:line="276" w:lineRule="auto"/>
        <w:jc w:val="both"/>
        <w:rPr>
          <w:color w:val="384575"/>
        </w:rPr>
      </w:pPr>
      <w:r w:rsidRPr="005A1E3D">
        <w:rPr>
          <w:color w:val="384575"/>
        </w:rPr>
        <w:t>Pokud jde</w:t>
      </w:r>
      <w:r w:rsidR="00460264" w:rsidRPr="005A1E3D">
        <w:rPr>
          <w:color w:val="384575"/>
        </w:rPr>
        <w:t xml:space="preserve"> o </w:t>
      </w:r>
      <w:r w:rsidRPr="005A1E3D">
        <w:rPr>
          <w:color w:val="384575"/>
        </w:rPr>
        <w:t>povinnost uloženou operátorům elektronických komunikací uchovávat po dobu jednoho roku obecným</w:t>
      </w:r>
      <w:r w:rsidR="00460264" w:rsidRPr="005A1E3D">
        <w:rPr>
          <w:color w:val="384575"/>
        </w:rPr>
        <w:t xml:space="preserve"> a </w:t>
      </w:r>
      <w:r w:rsidRPr="005A1E3D">
        <w:rPr>
          <w:color w:val="384575"/>
        </w:rPr>
        <w:t>nerozlišujícím způsobem údaje</w:t>
      </w:r>
      <w:r w:rsidR="00460264" w:rsidRPr="005A1E3D">
        <w:rPr>
          <w:color w:val="384575"/>
        </w:rPr>
        <w:t xml:space="preserve"> o </w:t>
      </w:r>
      <w:r w:rsidRPr="005A1E3D">
        <w:rPr>
          <w:color w:val="384575"/>
        </w:rPr>
        <w:t>spojení pro účely stíhání trestných činů, Státní rada tím výrazně omezila ochranu základních práv na ochranu údajů</w:t>
      </w:r>
      <w:r w:rsidR="00460264" w:rsidRPr="005A1E3D">
        <w:rPr>
          <w:color w:val="384575"/>
        </w:rPr>
        <w:t xml:space="preserve"> a </w:t>
      </w:r>
      <w:r w:rsidRPr="005A1E3D">
        <w:rPr>
          <w:color w:val="384575"/>
        </w:rPr>
        <w:t>respektování soukromého života (články 7</w:t>
      </w:r>
      <w:r w:rsidR="00460264" w:rsidRPr="005A1E3D">
        <w:rPr>
          <w:color w:val="384575"/>
        </w:rPr>
        <w:t xml:space="preserve"> a </w:t>
      </w:r>
      <w:r w:rsidRPr="005A1E3D">
        <w:rPr>
          <w:color w:val="384575"/>
        </w:rPr>
        <w:t>8 Listiny) ve jménu ústavně hodnotného cíle ochrany základních zájmů národa, předcházení porušování veřejného pořádku</w:t>
      </w:r>
      <w:r w:rsidR="00460264" w:rsidRPr="005A1E3D">
        <w:rPr>
          <w:color w:val="384575"/>
        </w:rPr>
        <w:t xml:space="preserve"> a </w:t>
      </w:r>
      <w:r w:rsidRPr="005A1E3D">
        <w:rPr>
          <w:color w:val="384575"/>
        </w:rPr>
        <w:t>pátrání po pachatelích trestných činů</w:t>
      </w:r>
      <w:r w:rsidR="00460264" w:rsidRPr="005A1E3D">
        <w:rPr>
          <w:color w:val="384575"/>
        </w:rPr>
        <w:t xml:space="preserve"> a </w:t>
      </w:r>
      <w:r w:rsidRPr="005A1E3D">
        <w:rPr>
          <w:color w:val="384575"/>
        </w:rPr>
        <w:t>boje proti terorismu.</w:t>
      </w:r>
    </w:p>
    <w:p w14:paraId="1969B1CF" w14:textId="77777777" w:rsidR="005A1E3D" w:rsidRPr="005A1E3D" w:rsidRDefault="005A1E3D" w:rsidP="0049009B">
      <w:pPr>
        <w:spacing w:after="120" w:line="276" w:lineRule="auto"/>
        <w:jc w:val="both"/>
        <w:rPr>
          <w:color w:val="384575"/>
        </w:rPr>
      </w:pPr>
    </w:p>
    <w:p w14:paraId="4C70B832" w14:textId="77777777" w:rsidR="0049009B" w:rsidRDefault="0049009B" w:rsidP="0049009B">
      <w:pPr>
        <w:pStyle w:val="Odstavecseseznamem"/>
        <w:numPr>
          <w:ilvl w:val="0"/>
          <w:numId w:val="43"/>
        </w:numPr>
        <w:rPr>
          <w:color w:val="2F55A2"/>
        </w:rPr>
      </w:pPr>
      <w:r w:rsidRPr="00952095">
        <w:rPr>
          <w:b/>
          <w:bCs/>
          <w:color w:val="2F55A2"/>
        </w:rPr>
        <w:lastRenderedPageBreak/>
        <w:t>Výměna informací</w:t>
      </w:r>
      <w:r w:rsidR="00460264" w:rsidRPr="00952095">
        <w:rPr>
          <w:b/>
          <w:bCs/>
          <w:color w:val="2F55A2"/>
        </w:rPr>
        <w:t xml:space="preserve"> v </w:t>
      </w:r>
      <w:r w:rsidRPr="00952095">
        <w:rPr>
          <w:b/>
          <w:bCs/>
          <w:color w:val="2F55A2"/>
        </w:rPr>
        <w:t>oblasti daní:</w:t>
      </w:r>
      <w:r w:rsidRPr="00952095">
        <w:rPr>
          <w:color w:val="2F55A2"/>
        </w:rPr>
        <w:t xml:space="preserve"> Státní rada, 25. června 2021, </w:t>
      </w:r>
      <w:r w:rsidR="00460264" w:rsidRPr="00952095">
        <w:rPr>
          <w:color w:val="2F55A2"/>
        </w:rPr>
        <w:t>č. </w:t>
      </w:r>
      <w:r w:rsidRPr="00952095">
        <w:rPr>
          <w:color w:val="2F55A2"/>
        </w:rPr>
        <w:t>448486.</w:t>
      </w:r>
    </w:p>
    <w:p w14:paraId="06823BAA" w14:textId="77777777" w:rsidR="005A1E3D" w:rsidRPr="00952095" w:rsidRDefault="005A1E3D" w:rsidP="005A1E3D">
      <w:pPr>
        <w:pStyle w:val="Odstavecseseznamem"/>
        <w:rPr>
          <w:color w:val="2F55A2"/>
        </w:rPr>
      </w:pPr>
    </w:p>
    <w:p w14:paraId="1B573D31" w14:textId="77777777" w:rsidR="0049009B" w:rsidRPr="005A1E3D" w:rsidRDefault="0049009B" w:rsidP="0049009B">
      <w:pPr>
        <w:spacing w:after="120" w:line="276" w:lineRule="auto"/>
        <w:jc w:val="both"/>
        <w:rPr>
          <w:color w:val="384575"/>
        </w:rPr>
      </w:pPr>
      <w:r w:rsidRPr="005A1E3D">
        <w:rPr>
          <w:color w:val="384575"/>
        </w:rPr>
        <w:t>Soud může vyhovět návrhovým žádáním účastníků řízení, například tím, že se obrátí na Soudní dvůr</w:t>
      </w:r>
      <w:r w:rsidR="00460264" w:rsidRPr="005A1E3D">
        <w:rPr>
          <w:color w:val="384575"/>
        </w:rPr>
        <w:t xml:space="preserve"> s </w:t>
      </w:r>
      <w:r w:rsidRPr="005A1E3D">
        <w:rPr>
          <w:color w:val="384575"/>
        </w:rPr>
        <w:t>žádostí</w:t>
      </w:r>
      <w:r w:rsidR="00460264" w:rsidRPr="005A1E3D">
        <w:rPr>
          <w:color w:val="384575"/>
        </w:rPr>
        <w:t xml:space="preserve"> o </w:t>
      </w:r>
      <w:r w:rsidRPr="005A1E3D">
        <w:rPr>
          <w:color w:val="384575"/>
        </w:rPr>
        <w:t>rozhodnutí</w:t>
      </w:r>
      <w:r w:rsidR="00460264" w:rsidRPr="005A1E3D">
        <w:rPr>
          <w:color w:val="384575"/>
        </w:rPr>
        <w:t xml:space="preserve"> o </w:t>
      </w:r>
      <w:r w:rsidRPr="005A1E3D">
        <w:rPr>
          <w:color w:val="384575"/>
        </w:rPr>
        <w:t>předběžné otázce. Ke Státní radě byla tedy podána žaloba na neplatnost usnesení ze dne 21. října 2019, kterým byla provedena směrnice Rady (EU) 2018/822 ze dne 25. května 2018 rozšiřující působnost výměny informací</w:t>
      </w:r>
      <w:r w:rsidR="00460264" w:rsidRPr="005A1E3D">
        <w:rPr>
          <w:color w:val="384575"/>
        </w:rPr>
        <w:t xml:space="preserve"> v </w:t>
      </w:r>
      <w:r w:rsidRPr="005A1E3D">
        <w:rPr>
          <w:color w:val="384575"/>
        </w:rPr>
        <w:t>oblasti daní na přeshraniční ujednání, přičemž Rada sdílí obavy žalobců ohledně dodržování některých základních práv</w:t>
      </w:r>
      <w:r w:rsidR="00460264" w:rsidRPr="005A1E3D">
        <w:rPr>
          <w:color w:val="384575"/>
        </w:rPr>
        <w:t xml:space="preserve"> s </w:t>
      </w:r>
      <w:r w:rsidRPr="005A1E3D">
        <w:rPr>
          <w:color w:val="384575"/>
        </w:rPr>
        <w:t>tím, že práva zaručená Listinou základních práv ma</w:t>
      </w:r>
      <w:r w:rsidR="009A148F" w:rsidRPr="005A1E3D">
        <w:rPr>
          <w:color w:val="384575"/>
        </w:rPr>
        <w:t>jí logicky vysokou právní sílu.</w:t>
      </w:r>
    </w:p>
    <w:p w14:paraId="7CD35145" w14:textId="77777777" w:rsidR="0049009B" w:rsidRPr="005A1E3D" w:rsidRDefault="0049009B" w:rsidP="0049009B">
      <w:pPr>
        <w:spacing w:after="120" w:line="276" w:lineRule="auto"/>
        <w:jc w:val="both"/>
        <w:rPr>
          <w:color w:val="384575"/>
          <w:highlight w:val="yellow"/>
        </w:rPr>
      </w:pPr>
      <w:r w:rsidRPr="005A1E3D">
        <w:rPr>
          <w:color w:val="384575"/>
        </w:rPr>
        <w:t>Spor se týká provedení směrnice Rady 2018/822 ze dne 25. května 2018, pokud jde</w:t>
      </w:r>
      <w:r w:rsidR="00460264" w:rsidRPr="005A1E3D">
        <w:rPr>
          <w:color w:val="384575"/>
        </w:rPr>
        <w:t xml:space="preserve"> o </w:t>
      </w:r>
      <w:r w:rsidRPr="005A1E3D">
        <w:rPr>
          <w:color w:val="384575"/>
        </w:rPr>
        <w:t>povinnou automatickou výměnu informací</w:t>
      </w:r>
      <w:r w:rsidR="00460264" w:rsidRPr="005A1E3D">
        <w:rPr>
          <w:color w:val="384575"/>
        </w:rPr>
        <w:t xml:space="preserve"> v </w:t>
      </w:r>
      <w:r w:rsidRPr="005A1E3D">
        <w:rPr>
          <w:color w:val="384575"/>
        </w:rPr>
        <w:t>oblasti daní ve vztahu</w:t>
      </w:r>
      <w:r w:rsidR="00460264" w:rsidRPr="005A1E3D">
        <w:rPr>
          <w:color w:val="384575"/>
        </w:rPr>
        <w:t xml:space="preserve"> k </w:t>
      </w:r>
      <w:r w:rsidRPr="005A1E3D">
        <w:rPr>
          <w:color w:val="384575"/>
        </w:rPr>
        <w:t>přeshraničním uspořádáním, která se mají oznamovat, která zavedla povinnost oznamovat daňovým orgánům právní uspořádání, jež by mohla vést</w:t>
      </w:r>
      <w:r w:rsidR="00460264" w:rsidRPr="005A1E3D">
        <w:rPr>
          <w:color w:val="384575"/>
        </w:rPr>
        <w:t xml:space="preserve"> k </w:t>
      </w:r>
      <w:r w:rsidRPr="005A1E3D">
        <w:rPr>
          <w:color w:val="384575"/>
        </w:rPr>
        <w:t>daňové ztrátě týkající se několika členských států Evropské unie nebo členského státu</w:t>
      </w:r>
      <w:r w:rsidR="00460264" w:rsidRPr="005A1E3D">
        <w:rPr>
          <w:color w:val="384575"/>
        </w:rPr>
        <w:t xml:space="preserve"> a </w:t>
      </w:r>
      <w:r w:rsidRPr="005A1E3D">
        <w:rPr>
          <w:color w:val="384575"/>
        </w:rPr>
        <w:t xml:space="preserve">třetí země. </w:t>
      </w:r>
      <w:proofErr w:type="spellStart"/>
      <w:r w:rsidRPr="005A1E3D">
        <w:rPr>
          <w:color w:val="384575"/>
        </w:rPr>
        <w:t>Conseil</w:t>
      </w:r>
      <w:proofErr w:type="spellEnd"/>
      <w:r w:rsidRPr="005A1E3D">
        <w:rPr>
          <w:color w:val="384575"/>
        </w:rPr>
        <w:t xml:space="preserve"> </w:t>
      </w:r>
      <w:proofErr w:type="spellStart"/>
      <w:r w:rsidRPr="005A1E3D">
        <w:rPr>
          <w:color w:val="384575"/>
        </w:rPr>
        <w:t>National</w:t>
      </w:r>
      <w:proofErr w:type="spellEnd"/>
      <w:r w:rsidRPr="005A1E3D">
        <w:rPr>
          <w:color w:val="384575"/>
        </w:rPr>
        <w:t xml:space="preserve"> des </w:t>
      </w:r>
      <w:proofErr w:type="spellStart"/>
      <w:r w:rsidRPr="005A1E3D">
        <w:rPr>
          <w:color w:val="384575"/>
        </w:rPr>
        <w:t>Barreaux</w:t>
      </w:r>
      <w:proofErr w:type="spellEnd"/>
      <w:r w:rsidRPr="005A1E3D">
        <w:rPr>
          <w:color w:val="384575"/>
        </w:rPr>
        <w:t xml:space="preserve"> (Národní rada advokátních komor)</w:t>
      </w:r>
      <w:r w:rsidR="00460264" w:rsidRPr="005A1E3D">
        <w:rPr>
          <w:color w:val="384575"/>
        </w:rPr>
        <w:t xml:space="preserve"> a </w:t>
      </w:r>
      <w:r w:rsidRPr="005A1E3D">
        <w:rPr>
          <w:color w:val="384575"/>
        </w:rPr>
        <w:t>další organizace advokátů napadly transpoziční zákon</w:t>
      </w:r>
      <w:r w:rsidR="00460264" w:rsidRPr="005A1E3D">
        <w:rPr>
          <w:color w:val="384575"/>
        </w:rPr>
        <w:t xml:space="preserve"> z </w:t>
      </w:r>
      <w:r w:rsidRPr="005A1E3D">
        <w:rPr>
          <w:color w:val="384575"/>
        </w:rPr>
        <w:t>toho důvodu, že oznamovací povinnost uložená advokátům neodůvodněně narušuje ochranu důvěrnosti mezi advokátem</w:t>
      </w:r>
      <w:r w:rsidR="00460264" w:rsidRPr="005A1E3D">
        <w:rPr>
          <w:color w:val="384575"/>
        </w:rPr>
        <w:t xml:space="preserve"> a </w:t>
      </w:r>
      <w:r w:rsidRPr="005A1E3D">
        <w:rPr>
          <w:color w:val="384575"/>
        </w:rPr>
        <w:t>klientem zaručenou články 7</w:t>
      </w:r>
      <w:r w:rsidR="00460264" w:rsidRPr="005A1E3D">
        <w:rPr>
          <w:color w:val="384575"/>
        </w:rPr>
        <w:t xml:space="preserve"> a </w:t>
      </w:r>
      <w:r w:rsidRPr="005A1E3D">
        <w:rPr>
          <w:color w:val="384575"/>
        </w:rPr>
        <w:t>47 Listiny základních práv Evropské unie, jakož</w:t>
      </w:r>
      <w:r w:rsidR="00460264" w:rsidRPr="005A1E3D">
        <w:rPr>
          <w:color w:val="384575"/>
        </w:rPr>
        <w:t xml:space="preserve"> i </w:t>
      </w:r>
      <w:r w:rsidRPr="005A1E3D">
        <w:rPr>
          <w:color w:val="384575"/>
        </w:rPr>
        <w:t>články 8</w:t>
      </w:r>
      <w:r w:rsidR="00460264" w:rsidRPr="005A1E3D">
        <w:rPr>
          <w:color w:val="384575"/>
        </w:rPr>
        <w:t xml:space="preserve"> a </w:t>
      </w:r>
      <w:r w:rsidRPr="005A1E3D">
        <w:rPr>
          <w:color w:val="384575"/>
        </w:rPr>
        <w:t>6 Evropské úmluvy</w:t>
      </w:r>
      <w:r w:rsidR="00460264" w:rsidRPr="005A1E3D">
        <w:rPr>
          <w:color w:val="384575"/>
        </w:rPr>
        <w:t xml:space="preserve"> o </w:t>
      </w:r>
      <w:r w:rsidRPr="005A1E3D">
        <w:rPr>
          <w:color w:val="384575"/>
        </w:rPr>
        <w:t>ochraně lidských práv</w:t>
      </w:r>
      <w:r w:rsidR="00460264" w:rsidRPr="005A1E3D">
        <w:rPr>
          <w:color w:val="384575"/>
        </w:rPr>
        <w:t xml:space="preserve"> a </w:t>
      </w:r>
      <w:r w:rsidRPr="005A1E3D">
        <w:rPr>
          <w:color w:val="384575"/>
        </w:rPr>
        <w:t>základních svobod.</w:t>
      </w:r>
    </w:p>
    <w:p w14:paraId="51E1C76A" w14:textId="77777777" w:rsidR="0049009B" w:rsidRPr="00952095" w:rsidRDefault="0049009B" w:rsidP="0049009B">
      <w:pPr>
        <w:pStyle w:val="Odstavecseseznamem"/>
        <w:numPr>
          <w:ilvl w:val="0"/>
          <w:numId w:val="43"/>
        </w:numPr>
        <w:spacing w:after="120" w:line="276" w:lineRule="auto"/>
        <w:jc w:val="both"/>
        <w:rPr>
          <w:rFonts w:eastAsia="Aptos"/>
          <w:color w:val="2F55A2"/>
          <w:kern w:val="2"/>
        </w:rPr>
      </w:pPr>
      <w:r w:rsidRPr="00952095">
        <w:rPr>
          <w:b/>
          <w:bCs/>
          <w:color w:val="2F55A2"/>
        </w:rPr>
        <w:t>Sociální ochrana:</w:t>
      </w:r>
      <w:r w:rsidRPr="00952095">
        <w:rPr>
          <w:color w:val="2F55A2"/>
        </w:rPr>
        <w:t xml:space="preserve"> Rozhodnutí, která sankcionují vnitrostátní předpisy</w:t>
      </w:r>
      <w:r w:rsidR="00460264" w:rsidRPr="00952095">
        <w:rPr>
          <w:color w:val="2F55A2"/>
        </w:rPr>
        <w:t xml:space="preserve"> z </w:t>
      </w:r>
      <w:r w:rsidRPr="00952095">
        <w:rPr>
          <w:color w:val="2F55A2"/>
        </w:rPr>
        <w:t>důvodu jejich rozporu</w:t>
      </w:r>
      <w:r w:rsidR="00460264" w:rsidRPr="00952095">
        <w:rPr>
          <w:color w:val="2F55A2"/>
        </w:rPr>
        <w:t xml:space="preserve"> s </w:t>
      </w:r>
      <w:r w:rsidRPr="00952095">
        <w:rPr>
          <w:color w:val="2F55A2"/>
        </w:rPr>
        <w:t>Listinou: Odvolací soud</w:t>
      </w:r>
      <w:r w:rsidR="00460264" w:rsidRPr="00952095">
        <w:rPr>
          <w:color w:val="2F55A2"/>
        </w:rPr>
        <w:t xml:space="preserve"> v </w:t>
      </w:r>
      <w:r w:rsidRPr="00952095">
        <w:rPr>
          <w:color w:val="2F55A2"/>
        </w:rPr>
        <w:t>Lyon</w:t>
      </w:r>
      <w:r w:rsidR="009A148F" w:rsidRPr="00952095">
        <w:rPr>
          <w:color w:val="2F55A2"/>
        </w:rPr>
        <w:t xml:space="preserve">u, 31. března 2015, </w:t>
      </w:r>
      <w:r w:rsidR="00460264" w:rsidRPr="00952095">
        <w:rPr>
          <w:color w:val="2F55A2"/>
        </w:rPr>
        <w:t>č. </w:t>
      </w:r>
      <w:r w:rsidR="009A148F" w:rsidRPr="00952095">
        <w:rPr>
          <w:color w:val="2F55A2"/>
        </w:rPr>
        <w:t>14/05509</w:t>
      </w:r>
    </w:p>
    <w:p w14:paraId="5DAC1761" w14:textId="1A166987" w:rsidR="0049009B" w:rsidRPr="005A1E3D" w:rsidRDefault="0049009B" w:rsidP="0049009B">
      <w:pPr>
        <w:spacing w:after="120" w:line="276" w:lineRule="auto"/>
        <w:jc w:val="both"/>
        <w:rPr>
          <w:color w:val="384575"/>
        </w:rPr>
      </w:pPr>
      <w:r w:rsidRPr="005A1E3D">
        <w:rPr>
          <w:color w:val="384575"/>
        </w:rPr>
        <w:t>Tato věc se týká přezkumu zákonného ustanovení (zavádějícího podmínku bydliště pro přiznání solidárního příspěvku pro seniory) odvolacím soudem</w:t>
      </w:r>
      <w:r w:rsidR="00460264" w:rsidRPr="005A1E3D">
        <w:rPr>
          <w:color w:val="384575"/>
        </w:rPr>
        <w:t xml:space="preserve"> v </w:t>
      </w:r>
      <w:r w:rsidRPr="005A1E3D">
        <w:rPr>
          <w:color w:val="384575"/>
        </w:rPr>
        <w:t>Lyonu, „jestliže otázka souladu článku L 816-1</w:t>
      </w:r>
      <w:r w:rsidR="00460264" w:rsidRPr="005A1E3D">
        <w:rPr>
          <w:color w:val="384575"/>
        </w:rPr>
        <w:t xml:space="preserve"> s </w:t>
      </w:r>
      <w:r w:rsidRPr="005A1E3D">
        <w:rPr>
          <w:color w:val="384575"/>
        </w:rPr>
        <w:t>Ústavou nebyla kasačním soudem předložena Ústavní radě, podle podmínek rozhodnutí vydaného dne 12. prosince 2013 se nelze</w:t>
      </w:r>
      <w:r w:rsidR="00460264" w:rsidRPr="005A1E3D">
        <w:rPr>
          <w:color w:val="384575"/>
        </w:rPr>
        <w:t xml:space="preserve"> v </w:t>
      </w:r>
      <w:r w:rsidRPr="005A1E3D">
        <w:rPr>
          <w:color w:val="384575"/>
        </w:rPr>
        <w:t>takové situaci vyhnout otázce vznesené navrhovatelkou, pokud jde</w:t>
      </w:r>
      <w:r w:rsidR="00460264" w:rsidRPr="005A1E3D">
        <w:rPr>
          <w:color w:val="384575"/>
        </w:rPr>
        <w:t xml:space="preserve"> o </w:t>
      </w:r>
      <w:r w:rsidRPr="005A1E3D">
        <w:rPr>
          <w:color w:val="384575"/>
        </w:rPr>
        <w:t>soulad tohoto článku</w:t>
      </w:r>
      <w:r w:rsidR="00460264" w:rsidRPr="005A1E3D">
        <w:rPr>
          <w:color w:val="384575"/>
        </w:rPr>
        <w:t xml:space="preserve"> s </w:t>
      </w:r>
      <w:r w:rsidRPr="005A1E3D">
        <w:rPr>
          <w:color w:val="384575"/>
        </w:rPr>
        <w:t>mezinárodními texty, které mají</w:t>
      </w:r>
      <w:r w:rsidR="00460264" w:rsidRPr="005A1E3D">
        <w:rPr>
          <w:color w:val="384575"/>
        </w:rPr>
        <w:t xml:space="preserve"> s </w:t>
      </w:r>
      <w:r w:rsidRPr="005A1E3D">
        <w:rPr>
          <w:color w:val="384575"/>
        </w:rPr>
        <w:t>ohledem na ustanovení článku 55 Ústavy vyšší právní sílu než zákony“. Odvolací soud měl za to, že ačkoli napadené zákonné ustanovení sleduje legitimní cíl (poskytnout pomoc osobám</w:t>
      </w:r>
      <w:r w:rsidR="00460264" w:rsidRPr="005A1E3D">
        <w:rPr>
          <w:color w:val="384575"/>
        </w:rPr>
        <w:t xml:space="preserve"> s </w:t>
      </w:r>
      <w:r w:rsidRPr="005A1E3D">
        <w:rPr>
          <w:color w:val="384575"/>
        </w:rPr>
        <w:t>trvalým pobytem ve Francii), jeho použití</w:t>
      </w:r>
      <w:r w:rsidR="00460264" w:rsidRPr="005A1E3D">
        <w:rPr>
          <w:color w:val="384575"/>
        </w:rPr>
        <w:t xml:space="preserve"> v </w:t>
      </w:r>
      <w:r w:rsidRPr="005A1E3D">
        <w:rPr>
          <w:color w:val="384575"/>
        </w:rPr>
        <w:t>projednávané věci odpírá navrhovatelce „životní minimum před dosažením věku 75 let,</w:t>
      </w:r>
      <w:r w:rsidR="00460264" w:rsidRPr="005A1E3D">
        <w:rPr>
          <w:color w:val="384575"/>
        </w:rPr>
        <w:t xml:space="preserve"> a </w:t>
      </w:r>
      <w:r w:rsidRPr="005A1E3D">
        <w:rPr>
          <w:color w:val="384575"/>
        </w:rPr>
        <w:t>neumožňuje jí tak vést důstojný</w:t>
      </w:r>
      <w:r w:rsidR="00460264" w:rsidRPr="005A1E3D">
        <w:rPr>
          <w:color w:val="384575"/>
        </w:rPr>
        <w:t xml:space="preserve"> a </w:t>
      </w:r>
      <w:r w:rsidRPr="005A1E3D">
        <w:rPr>
          <w:color w:val="384575"/>
        </w:rPr>
        <w:t>nezávislý život, jak to vyžadují ustanovení Listiny základních práv Evropské unie“.</w:t>
      </w:r>
    </w:p>
    <w:p w14:paraId="2E09D754" w14:textId="77777777" w:rsidR="0049009B" w:rsidRPr="00952095" w:rsidRDefault="0049009B" w:rsidP="0049009B">
      <w:pPr>
        <w:pStyle w:val="Odstavecseseznamem"/>
        <w:numPr>
          <w:ilvl w:val="0"/>
          <w:numId w:val="43"/>
        </w:numPr>
        <w:spacing w:after="120" w:line="276" w:lineRule="auto"/>
        <w:jc w:val="both"/>
        <w:rPr>
          <w:color w:val="2F55A2"/>
        </w:rPr>
      </w:pPr>
      <w:r w:rsidRPr="00952095">
        <w:rPr>
          <w:b/>
          <w:bCs/>
          <w:color w:val="2F55A2"/>
        </w:rPr>
        <w:t>Právo sociálního</w:t>
      </w:r>
      <w:r w:rsidR="00460264" w:rsidRPr="00952095">
        <w:rPr>
          <w:b/>
          <w:bCs/>
          <w:color w:val="2F55A2"/>
        </w:rPr>
        <w:t xml:space="preserve"> a </w:t>
      </w:r>
      <w:r w:rsidRPr="00952095">
        <w:rPr>
          <w:b/>
          <w:bCs/>
          <w:color w:val="2F55A2"/>
        </w:rPr>
        <w:t>hospodářského výboru podat žalobu:</w:t>
      </w:r>
      <w:r w:rsidRPr="00952095">
        <w:rPr>
          <w:color w:val="2F55A2"/>
        </w:rPr>
        <w:t xml:space="preserve"> Kasační soud, 2. března 2022, </w:t>
      </w:r>
      <w:r w:rsidR="00460264" w:rsidRPr="00952095">
        <w:rPr>
          <w:color w:val="2F55A2"/>
        </w:rPr>
        <w:t>č. </w:t>
      </w:r>
      <w:r w:rsidRPr="00952095">
        <w:rPr>
          <w:color w:val="2F55A2"/>
        </w:rPr>
        <w:t>20-077</w:t>
      </w:r>
    </w:p>
    <w:p w14:paraId="4A968B5B" w14:textId="77777777" w:rsidR="0049009B" w:rsidRPr="005A1E3D" w:rsidRDefault="0049009B" w:rsidP="0049009B">
      <w:pPr>
        <w:spacing w:after="120" w:line="276" w:lineRule="auto"/>
        <w:jc w:val="both"/>
        <w:rPr>
          <w:iCs/>
          <w:color w:val="384575"/>
        </w:rPr>
      </w:pPr>
      <w:r w:rsidRPr="005A1E3D">
        <w:rPr>
          <w:color w:val="384575"/>
        </w:rPr>
        <w:t>Spor se týká sociálního</w:t>
      </w:r>
      <w:r w:rsidR="00460264" w:rsidRPr="005A1E3D">
        <w:rPr>
          <w:color w:val="384575"/>
        </w:rPr>
        <w:t xml:space="preserve"> a </w:t>
      </w:r>
      <w:r w:rsidRPr="005A1E3D">
        <w:rPr>
          <w:color w:val="384575"/>
        </w:rPr>
        <w:t>hospodářského výboru podnikového závodu, který se rozhodl zahájit informačně konzultační postup týkající se sociální politiky</w:t>
      </w:r>
      <w:r w:rsidR="00460264" w:rsidRPr="005A1E3D">
        <w:rPr>
          <w:color w:val="384575"/>
        </w:rPr>
        <w:t xml:space="preserve"> v </w:t>
      </w:r>
      <w:r w:rsidRPr="005A1E3D">
        <w:rPr>
          <w:color w:val="384575"/>
        </w:rPr>
        <w:t>rámci závodu</w:t>
      </w:r>
      <w:r w:rsidR="00460264" w:rsidRPr="005A1E3D">
        <w:rPr>
          <w:color w:val="384575"/>
        </w:rPr>
        <w:t xml:space="preserve"> a </w:t>
      </w:r>
      <w:r w:rsidRPr="005A1E3D">
        <w:rPr>
          <w:color w:val="384575"/>
        </w:rPr>
        <w:t>jmenovat odborníka, který mu bude</w:t>
      </w:r>
      <w:r w:rsidR="00460264" w:rsidRPr="005A1E3D">
        <w:rPr>
          <w:color w:val="384575"/>
        </w:rPr>
        <w:t xml:space="preserve"> v </w:t>
      </w:r>
      <w:r w:rsidRPr="005A1E3D">
        <w:rPr>
          <w:color w:val="384575"/>
        </w:rPr>
        <w:t>této věci nápomocen. Zaměstnavatel tyto žádosti zpochybnil</w:t>
      </w:r>
      <w:r w:rsidR="00460264" w:rsidRPr="005A1E3D">
        <w:rPr>
          <w:color w:val="384575"/>
        </w:rPr>
        <w:t xml:space="preserve"> s </w:t>
      </w:r>
      <w:r w:rsidRPr="005A1E3D">
        <w:rPr>
          <w:color w:val="384575"/>
        </w:rPr>
        <w:t>odkazem na dohodu uzavřenou</w:t>
      </w:r>
      <w:r w:rsidR="00460264" w:rsidRPr="005A1E3D">
        <w:rPr>
          <w:color w:val="384575"/>
        </w:rPr>
        <w:t xml:space="preserve"> s </w:t>
      </w:r>
      <w:r w:rsidRPr="005A1E3D">
        <w:rPr>
          <w:color w:val="384575"/>
        </w:rPr>
        <w:t>odbory, která stanoví, že konzultace</w:t>
      </w:r>
      <w:r w:rsidR="00460264" w:rsidRPr="005A1E3D">
        <w:rPr>
          <w:color w:val="384575"/>
        </w:rPr>
        <w:t xml:space="preserve"> o </w:t>
      </w:r>
      <w:r w:rsidRPr="005A1E3D">
        <w:rPr>
          <w:color w:val="384575"/>
        </w:rPr>
        <w:t>hospodářské, sociální</w:t>
      </w:r>
      <w:r w:rsidR="00460264" w:rsidRPr="005A1E3D">
        <w:rPr>
          <w:color w:val="384575"/>
        </w:rPr>
        <w:t xml:space="preserve"> a </w:t>
      </w:r>
      <w:r w:rsidRPr="005A1E3D">
        <w:rPr>
          <w:color w:val="384575"/>
        </w:rPr>
        <w:t>strategické politice podniku se mají konat pouze na úrovni ústředního sociálního</w:t>
      </w:r>
      <w:r w:rsidR="00460264" w:rsidRPr="005A1E3D">
        <w:rPr>
          <w:color w:val="384575"/>
        </w:rPr>
        <w:t xml:space="preserve"> a </w:t>
      </w:r>
      <w:r w:rsidRPr="005A1E3D">
        <w:rPr>
          <w:color w:val="384575"/>
        </w:rPr>
        <w:t>hospodářského výboru.</w:t>
      </w:r>
    </w:p>
    <w:p w14:paraId="0C6CF3BC" w14:textId="77777777" w:rsidR="0049009B" w:rsidRPr="005A1E3D" w:rsidRDefault="0049009B" w:rsidP="0049009B">
      <w:pPr>
        <w:spacing w:after="120" w:line="276" w:lineRule="auto"/>
        <w:jc w:val="both"/>
        <w:rPr>
          <w:color w:val="384575"/>
        </w:rPr>
      </w:pPr>
      <w:r w:rsidRPr="005A1E3D">
        <w:rPr>
          <w:i/>
          <w:color w:val="384575"/>
        </w:rPr>
        <w:t>„S ohledem na právo na účinný prostředek nápravy zaručené jak článkem 16 Deklarace</w:t>
      </w:r>
      <w:r w:rsidR="00460264" w:rsidRPr="005A1E3D">
        <w:rPr>
          <w:i/>
          <w:color w:val="384575"/>
        </w:rPr>
        <w:t xml:space="preserve"> z </w:t>
      </w:r>
      <w:r w:rsidRPr="005A1E3D">
        <w:rPr>
          <w:i/>
          <w:color w:val="384575"/>
        </w:rPr>
        <w:t>roku 1789, tak článkem 47 Listiny základních práv Evropské unie, která je</w:t>
      </w:r>
      <w:r w:rsidR="00460264" w:rsidRPr="005A1E3D">
        <w:rPr>
          <w:i/>
          <w:color w:val="384575"/>
        </w:rPr>
        <w:t xml:space="preserve"> v </w:t>
      </w:r>
      <w:r w:rsidRPr="005A1E3D">
        <w:rPr>
          <w:i/>
          <w:color w:val="384575"/>
        </w:rPr>
        <w:t xml:space="preserve">tomto </w:t>
      </w:r>
      <w:r w:rsidRPr="005A1E3D">
        <w:rPr>
          <w:i/>
          <w:color w:val="384575"/>
        </w:rPr>
        <w:lastRenderedPageBreak/>
        <w:t>případě použitelná na základě směrnice Evropského parlamentu</w:t>
      </w:r>
      <w:r w:rsidR="00460264" w:rsidRPr="005A1E3D">
        <w:rPr>
          <w:i/>
          <w:color w:val="384575"/>
        </w:rPr>
        <w:t xml:space="preserve"> a </w:t>
      </w:r>
      <w:r w:rsidRPr="005A1E3D">
        <w:rPr>
          <w:i/>
          <w:color w:val="384575"/>
        </w:rPr>
        <w:t>Rady 2002/14/ES ze dne 11. března 2002, kterou se stanoví obecný rámec pro informování zaměstnanců</w:t>
      </w:r>
      <w:r w:rsidR="00460264" w:rsidRPr="005A1E3D">
        <w:rPr>
          <w:i/>
          <w:color w:val="384575"/>
        </w:rPr>
        <w:t xml:space="preserve"> a </w:t>
      </w:r>
      <w:r w:rsidRPr="005A1E3D">
        <w:rPr>
          <w:i/>
          <w:color w:val="384575"/>
        </w:rPr>
        <w:t>projednávání se zaměstnanci</w:t>
      </w:r>
      <w:r w:rsidR="00460264" w:rsidRPr="005A1E3D">
        <w:rPr>
          <w:i/>
          <w:color w:val="384575"/>
        </w:rPr>
        <w:t xml:space="preserve"> v </w:t>
      </w:r>
      <w:r w:rsidRPr="005A1E3D">
        <w:rPr>
          <w:i/>
          <w:color w:val="384575"/>
        </w:rPr>
        <w:t>Evropském společenství,</w:t>
      </w:r>
      <w:r w:rsidR="00460264" w:rsidRPr="005A1E3D">
        <w:rPr>
          <w:i/>
          <w:color w:val="384575"/>
        </w:rPr>
        <w:t xml:space="preserve"> a </w:t>
      </w:r>
      <w:r w:rsidRPr="005A1E3D">
        <w:rPr>
          <w:i/>
          <w:color w:val="384575"/>
        </w:rPr>
        <w:t>článku 6 Úmluvy</w:t>
      </w:r>
      <w:r w:rsidR="00460264" w:rsidRPr="005A1E3D">
        <w:rPr>
          <w:i/>
          <w:color w:val="384575"/>
        </w:rPr>
        <w:t xml:space="preserve"> o </w:t>
      </w:r>
      <w:r w:rsidRPr="005A1E3D">
        <w:rPr>
          <w:i/>
          <w:color w:val="384575"/>
        </w:rPr>
        <w:t>ochraně lidských práv</w:t>
      </w:r>
      <w:r w:rsidR="00460264" w:rsidRPr="005A1E3D">
        <w:rPr>
          <w:i/>
          <w:color w:val="384575"/>
        </w:rPr>
        <w:t xml:space="preserve"> a </w:t>
      </w:r>
      <w:r w:rsidRPr="005A1E3D">
        <w:rPr>
          <w:i/>
          <w:color w:val="384575"/>
        </w:rPr>
        <w:t>základních svobod, je sociální</w:t>
      </w:r>
      <w:r w:rsidR="00460264" w:rsidRPr="005A1E3D">
        <w:rPr>
          <w:i/>
          <w:color w:val="384575"/>
        </w:rPr>
        <w:t xml:space="preserve"> a </w:t>
      </w:r>
      <w:r w:rsidRPr="005A1E3D">
        <w:rPr>
          <w:i/>
          <w:color w:val="384575"/>
        </w:rPr>
        <w:t>hospodářský výbor oprávněn se výjimečně</w:t>
      </w:r>
      <w:r w:rsidR="00460264" w:rsidRPr="005A1E3D">
        <w:rPr>
          <w:i/>
          <w:color w:val="384575"/>
        </w:rPr>
        <w:t xml:space="preserve"> a </w:t>
      </w:r>
      <w:r w:rsidRPr="005A1E3D">
        <w:rPr>
          <w:i/>
          <w:color w:val="384575"/>
        </w:rPr>
        <w:t>bez časového omezení dovolávat protiprávnosti ustanovení kolektivní smlouvy</w:t>
      </w:r>
      <w:r w:rsidR="00460264" w:rsidRPr="005A1E3D">
        <w:rPr>
          <w:i/>
          <w:color w:val="384575"/>
        </w:rPr>
        <w:t xml:space="preserve"> z </w:t>
      </w:r>
      <w:r w:rsidRPr="005A1E3D">
        <w:rPr>
          <w:i/>
          <w:color w:val="384575"/>
        </w:rPr>
        <w:t>důvodu, že toto ustanovení porušuje jeho vlastní práva vyplývající</w:t>
      </w:r>
      <w:r w:rsidR="00460264" w:rsidRPr="005A1E3D">
        <w:rPr>
          <w:i/>
          <w:color w:val="384575"/>
        </w:rPr>
        <w:t xml:space="preserve"> z </w:t>
      </w:r>
      <w:r w:rsidRPr="005A1E3D">
        <w:rPr>
          <w:i/>
          <w:color w:val="384575"/>
        </w:rPr>
        <w:t>výsad, které mu byly svěřeny zákonem.“</w:t>
      </w:r>
    </w:p>
    <w:p w14:paraId="4ACF2653" w14:textId="77777777" w:rsidR="0049009B" w:rsidRPr="00952095" w:rsidRDefault="0049009B" w:rsidP="0049009B">
      <w:pPr>
        <w:pStyle w:val="Odstavecseseznamem"/>
        <w:numPr>
          <w:ilvl w:val="0"/>
          <w:numId w:val="43"/>
        </w:numPr>
        <w:spacing w:after="120" w:line="276" w:lineRule="auto"/>
        <w:jc w:val="both"/>
        <w:rPr>
          <w:color w:val="2F55A2"/>
        </w:rPr>
      </w:pPr>
      <w:r w:rsidRPr="00952095">
        <w:rPr>
          <w:b/>
          <w:bCs/>
          <w:color w:val="2F55A2"/>
        </w:rPr>
        <w:t>Informování zaměstnance</w:t>
      </w:r>
      <w:r w:rsidR="00460264" w:rsidRPr="00952095">
        <w:rPr>
          <w:b/>
          <w:bCs/>
          <w:color w:val="2F55A2"/>
        </w:rPr>
        <w:t xml:space="preserve"> o </w:t>
      </w:r>
      <w:r w:rsidRPr="00952095">
        <w:rPr>
          <w:b/>
          <w:bCs/>
          <w:color w:val="2F55A2"/>
        </w:rPr>
        <w:t>pracovní době</w:t>
      </w:r>
      <w:r w:rsidRPr="00952095">
        <w:rPr>
          <w:color w:val="2F55A2"/>
        </w:rPr>
        <w:t xml:space="preserve"> Kasační soud, 5. července 2023, </w:t>
      </w:r>
      <w:r w:rsidR="00460264" w:rsidRPr="00952095">
        <w:rPr>
          <w:color w:val="2F55A2"/>
        </w:rPr>
        <w:t>č. </w:t>
      </w:r>
      <w:r w:rsidRPr="00952095">
        <w:rPr>
          <w:color w:val="2F55A2"/>
        </w:rPr>
        <w:t>21-24122</w:t>
      </w:r>
    </w:p>
    <w:p w14:paraId="07FE0C62" w14:textId="77777777" w:rsidR="0049009B" w:rsidRPr="005A1E3D" w:rsidRDefault="0049009B" w:rsidP="0049009B">
      <w:pPr>
        <w:spacing w:after="120" w:line="276" w:lineRule="auto"/>
        <w:jc w:val="both"/>
        <w:rPr>
          <w:color w:val="384575"/>
        </w:rPr>
      </w:pPr>
      <w:r w:rsidRPr="005A1E3D">
        <w:rPr>
          <w:color w:val="384575"/>
        </w:rPr>
        <w:t xml:space="preserve">O použití </w:t>
      </w:r>
      <w:r w:rsidR="00460264" w:rsidRPr="005A1E3D">
        <w:rPr>
          <w:color w:val="384575"/>
        </w:rPr>
        <w:t>čl. </w:t>
      </w:r>
      <w:r w:rsidRPr="005A1E3D">
        <w:rPr>
          <w:color w:val="384575"/>
        </w:rPr>
        <w:t>31 odst. 2 Listiny. Spor se týká žaloby podané sociálním</w:t>
      </w:r>
      <w:r w:rsidR="00460264" w:rsidRPr="005A1E3D">
        <w:rPr>
          <w:color w:val="384575"/>
        </w:rPr>
        <w:t xml:space="preserve"> a </w:t>
      </w:r>
      <w:r w:rsidRPr="005A1E3D">
        <w:rPr>
          <w:color w:val="384575"/>
        </w:rPr>
        <w:t>hospodářským výborem na zaměstnavatele pro porušení povinnosti zajistit bezpečnost</w:t>
      </w:r>
      <w:r w:rsidR="00460264" w:rsidRPr="005A1E3D">
        <w:rPr>
          <w:color w:val="384575"/>
        </w:rPr>
        <w:t xml:space="preserve"> a </w:t>
      </w:r>
      <w:r w:rsidRPr="005A1E3D">
        <w:rPr>
          <w:color w:val="384575"/>
        </w:rPr>
        <w:t>prevenci rizik při práci,</w:t>
      </w:r>
      <w:r w:rsidR="00460264" w:rsidRPr="005A1E3D">
        <w:rPr>
          <w:color w:val="384575"/>
        </w:rPr>
        <w:t xml:space="preserve"> v </w:t>
      </w:r>
      <w:r w:rsidRPr="005A1E3D">
        <w:rPr>
          <w:color w:val="384575"/>
        </w:rPr>
        <w:t>níž tento výbor požaduje, aby bylo společnosti uloženo zavést systém kontroly pracovní doby</w:t>
      </w:r>
      <w:r w:rsidR="00460264" w:rsidRPr="005A1E3D">
        <w:rPr>
          <w:color w:val="384575"/>
        </w:rPr>
        <w:t xml:space="preserve"> a </w:t>
      </w:r>
      <w:r w:rsidRPr="005A1E3D">
        <w:rPr>
          <w:color w:val="384575"/>
        </w:rPr>
        <w:t>mimořádných cest zaměstnanců</w:t>
      </w:r>
      <w:r w:rsidR="00460264" w:rsidRPr="005A1E3D">
        <w:rPr>
          <w:color w:val="384575"/>
        </w:rPr>
        <w:t xml:space="preserve"> a </w:t>
      </w:r>
      <w:r w:rsidRPr="005A1E3D">
        <w:rPr>
          <w:color w:val="384575"/>
        </w:rPr>
        <w:t>zajistit měsíční kontrolu objemu hodin evidovaných</w:t>
      </w:r>
      <w:r w:rsidR="00460264" w:rsidRPr="005A1E3D">
        <w:rPr>
          <w:color w:val="384575"/>
        </w:rPr>
        <w:t xml:space="preserve"> v </w:t>
      </w:r>
      <w:r w:rsidRPr="005A1E3D">
        <w:rPr>
          <w:color w:val="384575"/>
        </w:rPr>
        <w:t>účetnictví. Žaloba je podána na základě směrnice Evropského parlamentu</w:t>
      </w:r>
      <w:r w:rsidR="00460264" w:rsidRPr="005A1E3D">
        <w:rPr>
          <w:color w:val="384575"/>
        </w:rPr>
        <w:t xml:space="preserve"> a </w:t>
      </w:r>
      <w:r w:rsidRPr="005A1E3D">
        <w:rPr>
          <w:color w:val="384575"/>
        </w:rPr>
        <w:t>Rady 2003/88/ES ze dne 4. listopadu 2003</w:t>
      </w:r>
      <w:r w:rsidR="00460264" w:rsidRPr="005A1E3D">
        <w:rPr>
          <w:color w:val="384575"/>
        </w:rPr>
        <w:t xml:space="preserve"> o </w:t>
      </w:r>
      <w:r w:rsidRPr="005A1E3D">
        <w:rPr>
          <w:color w:val="384575"/>
        </w:rPr>
        <w:t>některých aspektech úpravy pracovní doby</w:t>
      </w:r>
      <w:r w:rsidR="00460264" w:rsidRPr="005A1E3D">
        <w:rPr>
          <w:color w:val="384575"/>
        </w:rPr>
        <w:t xml:space="preserve"> s </w:t>
      </w:r>
      <w:r w:rsidRPr="005A1E3D">
        <w:rPr>
          <w:color w:val="384575"/>
        </w:rPr>
        <w:t xml:space="preserve">ohledem na </w:t>
      </w:r>
      <w:r w:rsidR="00460264" w:rsidRPr="005A1E3D">
        <w:rPr>
          <w:color w:val="384575"/>
        </w:rPr>
        <w:t>čl. </w:t>
      </w:r>
      <w:r w:rsidRPr="005A1E3D">
        <w:rPr>
          <w:color w:val="384575"/>
        </w:rPr>
        <w:t>31 odst. 2 Listiny základních práv Evropské unie</w:t>
      </w:r>
      <w:r w:rsidR="00460264" w:rsidRPr="005A1E3D">
        <w:rPr>
          <w:color w:val="384575"/>
        </w:rPr>
        <w:t xml:space="preserve"> a </w:t>
      </w:r>
      <w:r w:rsidRPr="005A1E3D">
        <w:rPr>
          <w:color w:val="384575"/>
        </w:rPr>
        <w:t>směrnice Rady 89/391/EHS ze dne 12. června 1989</w:t>
      </w:r>
      <w:r w:rsidR="00460264" w:rsidRPr="005A1E3D">
        <w:rPr>
          <w:color w:val="384575"/>
        </w:rPr>
        <w:t xml:space="preserve"> o </w:t>
      </w:r>
      <w:r w:rsidRPr="005A1E3D">
        <w:rPr>
          <w:color w:val="384575"/>
        </w:rPr>
        <w:t>zavádění opatření pro zlepšení bezpečnosti</w:t>
      </w:r>
      <w:r w:rsidR="00460264" w:rsidRPr="005A1E3D">
        <w:rPr>
          <w:color w:val="384575"/>
        </w:rPr>
        <w:t xml:space="preserve"> a </w:t>
      </w:r>
      <w:r w:rsidRPr="005A1E3D">
        <w:rPr>
          <w:color w:val="384575"/>
        </w:rPr>
        <w:t>ochrany zdraví zaměstnanců při práci. Odvolací soud žalobě vyhověl.</w:t>
      </w:r>
    </w:p>
    <w:p w14:paraId="382DB0FE" w14:textId="77777777" w:rsidR="0049009B" w:rsidRPr="00952095" w:rsidRDefault="0049009B" w:rsidP="0049009B">
      <w:pPr>
        <w:pStyle w:val="Odstavecseseznamem"/>
        <w:numPr>
          <w:ilvl w:val="0"/>
          <w:numId w:val="43"/>
        </w:numPr>
        <w:spacing w:after="120" w:line="276" w:lineRule="auto"/>
        <w:jc w:val="both"/>
        <w:rPr>
          <w:color w:val="2F55A2"/>
        </w:rPr>
      </w:pPr>
      <w:r w:rsidRPr="00952095">
        <w:rPr>
          <w:b/>
          <w:bCs/>
          <w:color w:val="2F55A2"/>
        </w:rPr>
        <w:t>Právo na přístup</w:t>
      </w:r>
      <w:r w:rsidR="00460264" w:rsidRPr="00952095">
        <w:rPr>
          <w:b/>
          <w:bCs/>
          <w:color w:val="2F55A2"/>
        </w:rPr>
        <w:t xml:space="preserve"> k </w:t>
      </w:r>
      <w:r w:rsidRPr="00952095">
        <w:rPr>
          <w:b/>
          <w:bCs/>
          <w:color w:val="2F55A2"/>
        </w:rPr>
        <w:t>individuálním informacím</w:t>
      </w:r>
      <w:r w:rsidR="00460264" w:rsidRPr="00952095">
        <w:rPr>
          <w:b/>
          <w:bCs/>
          <w:color w:val="2F55A2"/>
        </w:rPr>
        <w:t xml:space="preserve"> o </w:t>
      </w:r>
      <w:r w:rsidRPr="00952095">
        <w:rPr>
          <w:b/>
          <w:bCs/>
          <w:color w:val="2F55A2"/>
        </w:rPr>
        <w:t>diskriminaci</w:t>
      </w:r>
      <w:r w:rsidR="00460264" w:rsidRPr="00952095">
        <w:rPr>
          <w:b/>
          <w:bCs/>
          <w:color w:val="2F55A2"/>
        </w:rPr>
        <w:t xml:space="preserve"> a </w:t>
      </w:r>
      <w:r w:rsidRPr="00952095">
        <w:rPr>
          <w:b/>
          <w:bCs/>
          <w:color w:val="2F55A2"/>
        </w:rPr>
        <w:t>ochraně osobních údajů:</w:t>
      </w:r>
      <w:r w:rsidRPr="00952095">
        <w:rPr>
          <w:color w:val="2F55A2"/>
        </w:rPr>
        <w:t xml:space="preserve"> Kasační soud, 1. června 2023, </w:t>
      </w:r>
      <w:r w:rsidR="00460264" w:rsidRPr="00952095">
        <w:rPr>
          <w:color w:val="2F55A2"/>
        </w:rPr>
        <w:t>č. </w:t>
      </w:r>
      <w:r w:rsidRPr="00952095">
        <w:rPr>
          <w:color w:val="2F55A2"/>
        </w:rPr>
        <w:t>22-13238</w:t>
      </w:r>
    </w:p>
    <w:p w14:paraId="4BEBCC40" w14:textId="77777777" w:rsidR="0049009B" w:rsidRPr="005A1E3D" w:rsidRDefault="0049009B" w:rsidP="0049009B">
      <w:pPr>
        <w:spacing w:after="120" w:line="276" w:lineRule="auto"/>
        <w:jc w:val="both"/>
        <w:rPr>
          <w:color w:val="384575"/>
        </w:rPr>
      </w:pPr>
      <w:r w:rsidRPr="005A1E3D">
        <w:rPr>
          <w:color w:val="384575"/>
        </w:rPr>
        <w:t>Spor se týká možnosti zaměstnanců, kteří tvrdí, že se stali oběťmi diskriminace související</w:t>
      </w:r>
      <w:r w:rsidR="00460264" w:rsidRPr="005A1E3D">
        <w:rPr>
          <w:color w:val="384575"/>
        </w:rPr>
        <w:t xml:space="preserve"> s </w:t>
      </w:r>
      <w:r w:rsidRPr="005A1E3D">
        <w:rPr>
          <w:color w:val="384575"/>
        </w:rPr>
        <w:t>jejich činností</w:t>
      </w:r>
      <w:r w:rsidR="00460264" w:rsidRPr="005A1E3D">
        <w:rPr>
          <w:color w:val="384575"/>
        </w:rPr>
        <w:t xml:space="preserve"> v </w:t>
      </w:r>
      <w:r w:rsidRPr="005A1E3D">
        <w:rPr>
          <w:color w:val="384575"/>
        </w:rPr>
        <w:t>odborech, získat</w:t>
      </w:r>
      <w:r w:rsidR="00460264" w:rsidRPr="005A1E3D">
        <w:rPr>
          <w:color w:val="384575"/>
        </w:rPr>
        <w:t xml:space="preserve"> u </w:t>
      </w:r>
      <w:r w:rsidRPr="005A1E3D">
        <w:rPr>
          <w:color w:val="384575"/>
        </w:rPr>
        <w:t>soudu právo na sdělení informací</w:t>
      </w:r>
      <w:r w:rsidR="00460264" w:rsidRPr="005A1E3D">
        <w:rPr>
          <w:color w:val="384575"/>
        </w:rPr>
        <w:t xml:space="preserve"> a </w:t>
      </w:r>
      <w:r w:rsidRPr="005A1E3D">
        <w:rPr>
          <w:color w:val="384575"/>
        </w:rPr>
        <w:t>předložení dokumentů týkajících se jiných zaměstnanců za účelem srovnání kariérního postupu</w:t>
      </w:r>
      <w:r w:rsidR="00460264" w:rsidRPr="005A1E3D">
        <w:rPr>
          <w:color w:val="384575"/>
        </w:rPr>
        <w:t xml:space="preserve"> a </w:t>
      </w:r>
      <w:r w:rsidRPr="005A1E3D">
        <w:rPr>
          <w:color w:val="384575"/>
        </w:rPr>
        <w:t>odměňování. Zaměstnavatel vznesl námitku založenou na ochraně osobních údajů.</w:t>
      </w:r>
    </w:p>
    <w:p w14:paraId="30079422" w14:textId="77777777" w:rsidR="0049009B" w:rsidRPr="005A1E3D" w:rsidRDefault="0049009B" w:rsidP="00740BB9">
      <w:pPr>
        <w:spacing w:after="120" w:line="276" w:lineRule="auto"/>
        <w:jc w:val="both"/>
        <w:rPr>
          <w:color w:val="384575"/>
          <w:highlight w:val="yellow"/>
        </w:rPr>
      </w:pPr>
      <w:r w:rsidRPr="005A1E3D">
        <w:rPr>
          <w:color w:val="384575"/>
        </w:rPr>
        <w:t>Soud rozhodl, že sdělení příjmení</w:t>
      </w:r>
      <w:r w:rsidR="00460264" w:rsidRPr="005A1E3D">
        <w:rPr>
          <w:color w:val="384575"/>
        </w:rPr>
        <w:t xml:space="preserve"> a </w:t>
      </w:r>
      <w:r w:rsidRPr="005A1E3D">
        <w:rPr>
          <w:color w:val="384575"/>
        </w:rPr>
        <w:t>jmen je nezbytné</w:t>
      </w:r>
      <w:r w:rsidR="00460264" w:rsidRPr="005A1E3D">
        <w:rPr>
          <w:color w:val="384575"/>
        </w:rPr>
        <w:t xml:space="preserve"> a </w:t>
      </w:r>
      <w:r w:rsidRPr="005A1E3D">
        <w:rPr>
          <w:color w:val="384575"/>
        </w:rPr>
        <w:t>přiměřené sledovanému cíli, kterým je ochrana práva na důkazy</w:t>
      </w:r>
      <w:r w:rsidR="00460264" w:rsidRPr="005A1E3D">
        <w:rPr>
          <w:color w:val="384575"/>
        </w:rPr>
        <w:t xml:space="preserve"> u </w:t>
      </w:r>
      <w:r w:rsidRPr="005A1E3D">
        <w:rPr>
          <w:color w:val="384575"/>
        </w:rPr>
        <w:t>zaměstnanců, kteří by mohli být oběťmi diskriminace,</w:t>
      </w:r>
      <w:r w:rsidR="00460264" w:rsidRPr="005A1E3D">
        <w:rPr>
          <w:color w:val="384575"/>
        </w:rPr>
        <w:t xml:space="preserve"> a </w:t>
      </w:r>
      <w:r w:rsidRPr="005A1E3D">
        <w:rPr>
          <w:color w:val="384575"/>
        </w:rPr>
        <w:t>že předložení výplatních pásek</w:t>
      </w:r>
      <w:r w:rsidR="00460264" w:rsidRPr="005A1E3D">
        <w:rPr>
          <w:color w:val="384575"/>
        </w:rPr>
        <w:t xml:space="preserve"> a </w:t>
      </w:r>
      <w:r w:rsidRPr="005A1E3D">
        <w:rPr>
          <w:color w:val="384575"/>
        </w:rPr>
        <w:t>sdělení informací, které jsou</w:t>
      </w:r>
      <w:r w:rsidR="00460264" w:rsidRPr="005A1E3D">
        <w:rPr>
          <w:color w:val="384575"/>
        </w:rPr>
        <w:t xml:space="preserve"> v </w:t>
      </w:r>
      <w:r w:rsidRPr="005A1E3D">
        <w:rPr>
          <w:color w:val="384575"/>
        </w:rPr>
        <w:t>nich uvedené, je nezbytné</w:t>
      </w:r>
      <w:r w:rsidR="00460264" w:rsidRPr="005A1E3D">
        <w:rPr>
          <w:color w:val="384575"/>
        </w:rPr>
        <w:t xml:space="preserve"> a </w:t>
      </w:r>
      <w:r w:rsidRPr="005A1E3D">
        <w:rPr>
          <w:color w:val="384575"/>
        </w:rPr>
        <w:t>zásah do soukromí je přiměřený sledovanému cíli.</w:t>
      </w:r>
    </w:p>
    <w:p w14:paraId="2DCAB0DF" w14:textId="77777777" w:rsidR="00505929" w:rsidRPr="005A1E3D" w:rsidRDefault="0049009B" w:rsidP="0049009B">
      <w:pPr>
        <w:spacing w:after="120" w:line="276" w:lineRule="auto"/>
        <w:jc w:val="both"/>
        <w:rPr>
          <w:color w:val="384575"/>
        </w:rPr>
      </w:pPr>
      <w:r w:rsidRPr="005A1E3D">
        <w:rPr>
          <w:color w:val="384575"/>
        </w:rPr>
        <w:t>Z bodu odůvodnění 4 nařízení Evropského parlamentu</w:t>
      </w:r>
      <w:r w:rsidR="00460264" w:rsidRPr="005A1E3D">
        <w:rPr>
          <w:color w:val="384575"/>
        </w:rPr>
        <w:t xml:space="preserve"> a </w:t>
      </w:r>
      <w:r w:rsidRPr="005A1E3D">
        <w:rPr>
          <w:color w:val="384575"/>
        </w:rPr>
        <w:t>Rady (EU) 2016/679 ze dne 27. dubna 2016</w:t>
      </w:r>
      <w:r w:rsidR="00460264" w:rsidRPr="005A1E3D">
        <w:rPr>
          <w:color w:val="384575"/>
        </w:rPr>
        <w:t xml:space="preserve"> o </w:t>
      </w:r>
      <w:r w:rsidRPr="005A1E3D">
        <w:rPr>
          <w:color w:val="384575"/>
        </w:rPr>
        <w:t>ochraně fyzických osob</w:t>
      </w:r>
      <w:r w:rsidR="00460264" w:rsidRPr="005A1E3D">
        <w:rPr>
          <w:color w:val="384575"/>
        </w:rPr>
        <w:t xml:space="preserve"> v </w:t>
      </w:r>
      <w:r w:rsidRPr="005A1E3D">
        <w:rPr>
          <w:color w:val="384575"/>
        </w:rPr>
        <w:t>souvislosti se zpracováním osobních údajů</w:t>
      </w:r>
      <w:r w:rsidR="00460264" w:rsidRPr="005A1E3D">
        <w:rPr>
          <w:color w:val="384575"/>
        </w:rPr>
        <w:t xml:space="preserve"> a </w:t>
      </w:r>
      <w:r w:rsidRPr="005A1E3D">
        <w:rPr>
          <w:color w:val="384575"/>
        </w:rPr>
        <w:t>o volném pohybu těchto údajů (obecné nařízení</w:t>
      </w:r>
      <w:r w:rsidR="00460264" w:rsidRPr="005A1E3D">
        <w:rPr>
          <w:color w:val="384575"/>
        </w:rPr>
        <w:t xml:space="preserve"> o </w:t>
      </w:r>
      <w:r w:rsidRPr="005A1E3D">
        <w:rPr>
          <w:color w:val="384575"/>
        </w:rPr>
        <w:t>ochraně osobních údajů) vyplývá, že právo na ochranu osobních údajů není absolutním právem</w:t>
      </w:r>
      <w:r w:rsidR="00460264" w:rsidRPr="005A1E3D">
        <w:rPr>
          <w:color w:val="384575"/>
        </w:rPr>
        <w:t xml:space="preserve"> a </w:t>
      </w:r>
      <w:r w:rsidRPr="005A1E3D">
        <w:rPr>
          <w:color w:val="384575"/>
        </w:rPr>
        <w:t>musí být posuzováno</w:t>
      </w:r>
      <w:r w:rsidR="00460264" w:rsidRPr="005A1E3D">
        <w:rPr>
          <w:color w:val="384575"/>
        </w:rPr>
        <w:t xml:space="preserve"> v </w:t>
      </w:r>
      <w:r w:rsidRPr="005A1E3D">
        <w:rPr>
          <w:color w:val="384575"/>
        </w:rPr>
        <w:t>souvislosti se svou funkcí ve společnosti</w:t>
      </w:r>
      <w:r w:rsidR="00460264" w:rsidRPr="005A1E3D">
        <w:rPr>
          <w:color w:val="384575"/>
        </w:rPr>
        <w:t xml:space="preserve"> a </w:t>
      </w:r>
      <w:r w:rsidRPr="005A1E3D">
        <w:rPr>
          <w:color w:val="384575"/>
        </w:rPr>
        <w:t>v souladu se zásadou proporcionality musí být</w:t>
      </w:r>
      <w:r w:rsidR="00460264" w:rsidRPr="005A1E3D">
        <w:rPr>
          <w:color w:val="384575"/>
        </w:rPr>
        <w:t xml:space="preserve"> v </w:t>
      </w:r>
      <w:r w:rsidRPr="005A1E3D">
        <w:rPr>
          <w:color w:val="384575"/>
        </w:rPr>
        <w:t>rovnováze</w:t>
      </w:r>
      <w:r w:rsidR="00460264" w:rsidRPr="005A1E3D">
        <w:rPr>
          <w:color w:val="384575"/>
        </w:rPr>
        <w:t xml:space="preserve"> s </w:t>
      </w:r>
      <w:r w:rsidRPr="005A1E3D">
        <w:rPr>
          <w:color w:val="384575"/>
        </w:rPr>
        <w:t>dalšími základními právy podle zásad uznaných Listinou</w:t>
      </w:r>
      <w:r w:rsidR="00460264" w:rsidRPr="005A1E3D">
        <w:rPr>
          <w:color w:val="384575"/>
        </w:rPr>
        <w:t xml:space="preserve"> a </w:t>
      </w:r>
      <w:r w:rsidRPr="005A1E3D">
        <w:rPr>
          <w:color w:val="384575"/>
        </w:rPr>
        <w:t>zakotvených ve Smlouvách, zejména práva na účinnou právní ochranu</w:t>
      </w:r>
      <w:r w:rsidR="00460264" w:rsidRPr="005A1E3D">
        <w:rPr>
          <w:color w:val="384575"/>
        </w:rPr>
        <w:t xml:space="preserve"> a </w:t>
      </w:r>
      <w:r w:rsidRPr="005A1E3D">
        <w:rPr>
          <w:color w:val="384575"/>
        </w:rPr>
        <w:t>spravedlivý proces.</w:t>
      </w:r>
    </w:p>
    <w:p w14:paraId="12B43757" w14:textId="77777777" w:rsidR="00952095" w:rsidRDefault="00952095" w:rsidP="0049009B">
      <w:pPr>
        <w:spacing w:after="120" w:line="276" w:lineRule="auto"/>
        <w:jc w:val="both"/>
      </w:pPr>
    </w:p>
    <w:p w14:paraId="53F030A7" w14:textId="77777777" w:rsidR="0055322C" w:rsidRPr="007D56D6" w:rsidRDefault="0055322C" w:rsidP="00740BB9">
      <w:pPr>
        <w:spacing w:after="120" w:line="276" w:lineRule="auto"/>
        <w:jc w:val="both"/>
        <w:rPr>
          <w:rFonts w:cstheme="minorHAnsi"/>
        </w:rPr>
      </w:pPr>
    </w:p>
    <w:p w14:paraId="4087681C" w14:textId="77777777" w:rsidR="00491D84" w:rsidRDefault="00505929" w:rsidP="00A12D5C">
      <w:pPr>
        <w:pStyle w:val="Odstavecseseznamem"/>
        <w:numPr>
          <w:ilvl w:val="2"/>
          <w:numId w:val="1"/>
        </w:numPr>
        <w:spacing w:line="276" w:lineRule="auto"/>
        <w:ind w:left="851" w:hanging="851"/>
        <w:jc w:val="both"/>
        <w:rPr>
          <w:b/>
          <w:color w:val="2F55A2"/>
          <w:sz w:val="28"/>
          <w:szCs w:val="28"/>
        </w:rPr>
      </w:pPr>
      <w:r w:rsidRPr="00F766DC">
        <w:rPr>
          <w:b/>
          <w:color w:val="2F55A2"/>
          <w:sz w:val="28"/>
          <w:szCs w:val="28"/>
        </w:rPr>
        <w:lastRenderedPageBreak/>
        <w:t xml:space="preserve">Španělsko </w:t>
      </w:r>
    </w:p>
    <w:p w14:paraId="436FCCEE" w14:textId="77777777" w:rsidR="00F766DC" w:rsidRPr="00F766DC" w:rsidRDefault="00F766DC" w:rsidP="00F766DC">
      <w:pPr>
        <w:pStyle w:val="Odstavecseseznamem"/>
        <w:spacing w:line="276" w:lineRule="auto"/>
        <w:jc w:val="both"/>
        <w:rPr>
          <w:b/>
          <w:color w:val="2F55A2"/>
          <w:sz w:val="28"/>
          <w:szCs w:val="28"/>
        </w:rPr>
      </w:pPr>
    </w:p>
    <w:p w14:paraId="25B1D42A" w14:textId="77777777" w:rsidR="0030456A" w:rsidRPr="005A1E3D" w:rsidRDefault="0030456A" w:rsidP="00740BB9">
      <w:pPr>
        <w:spacing w:after="120" w:line="276" w:lineRule="auto"/>
        <w:jc w:val="both"/>
        <w:rPr>
          <w:bCs/>
          <w:color w:val="384575"/>
        </w:rPr>
      </w:pPr>
      <w:r w:rsidRPr="005A1E3D">
        <w:rPr>
          <w:color w:val="384575"/>
        </w:rPr>
        <w:t>Začlenění Listiny do španělského právního systému bylo kontroverzní záležitostí, zejména kvůli doktrinálním změnám přijatým Ústavním soudem. Španělská ústava obsahuje</w:t>
      </w:r>
      <w:r w:rsidR="00460264" w:rsidRPr="005A1E3D">
        <w:rPr>
          <w:color w:val="384575"/>
        </w:rPr>
        <w:t xml:space="preserve"> v </w:t>
      </w:r>
      <w:r w:rsidRPr="005A1E3D">
        <w:rPr>
          <w:color w:val="384575"/>
        </w:rPr>
        <w:t>tomto ohledu dvě relevantní ustanovení. Na jedné straně musí na základě článku 93 španělské ústavy španělští soudci zajistit přímou účinnost</w:t>
      </w:r>
      <w:r w:rsidR="00460264" w:rsidRPr="005A1E3D">
        <w:rPr>
          <w:color w:val="384575"/>
        </w:rPr>
        <w:t xml:space="preserve"> a </w:t>
      </w:r>
      <w:r w:rsidRPr="005A1E3D">
        <w:rPr>
          <w:color w:val="384575"/>
        </w:rPr>
        <w:t>přednost Listiny při použití unijního práva. To znamená, že Španělsko ratifikovalo Smlouvy</w:t>
      </w:r>
      <w:r w:rsidR="00460264" w:rsidRPr="005A1E3D">
        <w:rPr>
          <w:color w:val="384575"/>
        </w:rPr>
        <w:t xml:space="preserve"> o </w:t>
      </w:r>
      <w:r w:rsidRPr="005A1E3D">
        <w:rPr>
          <w:color w:val="384575"/>
        </w:rPr>
        <w:t>EU</w:t>
      </w:r>
      <w:r w:rsidR="00460264" w:rsidRPr="005A1E3D">
        <w:rPr>
          <w:color w:val="384575"/>
        </w:rPr>
        <w:t xml:space="preserve"> a </w:t>
      </w:r>
      <w:r w:rsidRPr="005A1E3D">
        <w:rPr>
          <w:color w:val="384575"/>
        </w:rPr>
        <w:t>přijalo komunitární normy. Je však také možné obhájit hermeneutickou hodnotu Listiny</w:t>
      </w:r>
      <w:r w:rsidR="00460264" w:rsidRPr="005A1E3D">
        <w:rPr>
          <w:color w:val="384575"/>
        </w:rPr>
        <w:t xml:space="preserve"> v </w:t>
      </w:r>
      <w:r w:rsidRPr="005A1E3D">
        <w:rPr>
          <w:color w:val="384575"/>
        </w:rPr>
        <w:t>rozsahu,</w:t>
      </w:r>
      <w:r w:rsidR="00460264" w:rsidRPr="005A1E3D">
        <w:rPr>
          <w:color w:val="384575"/>
        </w:rPr>
        <w:t xml:space="preserve"> v </w:t>
      </w:r>
      <w:r w:rsidRPr="005A1E3D">
        <w:rPr>
          <w:color w:val="384575"/>
        </w:rPr>
        <w:t xml:space="preserve">němž </w:t>
      </w:r>
      <w:r w:rsidR="00460264" w:rsidRPr="005A1E3D">
        <w:rPr>
          <w:color w:val="384575"/>
        </w:rPr>
        <w:t>čl. </w:t>
      </w:r>
      <w:r w:rsidRPr="005A1E3D">
        <w:rPr>
          <w:color w:val="384575"/>
        </w:rPr>
        <w:t>10 odst. 2 španělské ústavy odkazuje na „pravidla týkající se základních práv</w:t>
      </w:r>
      <w:r w:rsidR="00460264" w:rsidRPr="005A1E3D">
        <w:rPr>
          <w:color w:val="384575"/>
        </w:rPr>
        <w:t xml:space="preserve"> a </w:t>
      </w:r>
      <w:r w:rsidRPr="005A1E3D">
        <w:rPr>
          <w:color w:val="384575"/>
        </w:rPr>
        <w:t>svobod uznaných ústavou“.</w:t>
      </w:r>
    </w:p>
    <w:p w14:paraId="32250881" w14:textId="77777777" w:rsidR="0030456A" w:rsidRPr="005A1E3D" w:rsidRDefault="0030456A" w:rsidP="00740BB9">
      <w:pPr>
        <w:spacing w:after="120" w:line="276" w:lineRule="auto"/>
        <w:jc w:val="both"/>
        <w:rPr>
          <w:bCs/>
          <w:color w:val="384575"/>
        </w:rPr>
      </w:pPr>
      <w:r w:rsidRPr="005A1E3D">
        <w:rPr>
          <w:color w:val="384575"/>
        </w:rPr>
        <w:t>V počáteční fázi byl Ústavní soud velmi opatrný, když prohlašoval, že je příslušný</w:t>
      </w:r>
      <w:r w:rsidR="00460264" w:rsidRPr="005A1E3D">
        <w:rPr>
          <w:color w:val="384575"/>
        </w:rPr>
        <w:t xml:space="preserve"> v </w:t>
      </w:r>
      <w:r w:rsidRPr="005A1E3D">
        <w:rPr>
          <w:color w:val="384575"/>
        </w:rPr>
        <w:t>případě porušení práv</w:t>
      </w:r>
      <w:r w:rsidR="00460264" w:rsidRPr="005A1E3D">
        <w:rPr>
          <w:color w:val="384575"/>
        </w:rPr>
        <w:t xml:space="preserve"> v </w:t>
      </w:r>
      <w:r w:rsidRPr="005A1E3D">
        <w:rPr>
          <w:color w:val="384575"/>
        </w:rPr>
        <w:t>oblasti evropského práva.</w:t>
      </w:r>
      <w:r w:rsidR="00460264" w:rsidRPr="005A1E3D">
        <w:rPr>
          <w:color w:val="384575"/>
        </w:rPr>
        <w:t xml:space="preserve"> V </w:t>
      </w:r>
      <w:r w:rsidRPr="005A1E3D">
        <w:rPr>
          <w:color w:val="384575"/>
        </w:rPr>
        <w:t>tomto smyslu ještě před přerušením platnosti Listiny opakoval, že „Ústavnímu soudu nepřísluší kontrolovat, zda je činnost vnitrostátních orgánů veřejné moci ve vztahu</w:t>
      </w:r>
      <w:r w:rsidR="00460264" w:rsidRPr="005A1E3D">
        <w:rPr>
          <w:color w:val="384575"/>
        </w:rPr>
        <w:t xml:space="preserve"> k </w:t>
      </w:r>
      <w:r w:rsidRPr="005A1E3D">
        <w:rPr>
          <w:color w:val="384575"/>
        </w:rPr>
        <w:t>právu Evropských společenství přiměřená. Tato kontrola přísluší obecným soudům, neboť ty jsou vykonavateli komunitárního právního řádu,</w:t>
      </w:r>
      <w:r w:rsidR="00460264" w:rsidRPr="005A1E3D">
        <w:rPr>
          <w:color w:val="384575"/>
        </w:rPr>
        <w:t xml:space="preserve"> a </w:t>
      </w:r>
      <w:r w:rsidRPr="005A1E3D">
        <w:rPr>
          <w:color w:val="384575"/>
        </w:rPr>
        <w:t>v jejich případě Soudnímu dvoru Evropských společenství prostřednictvím řízení</w:t>
      </w:r>
      <w:r w:rsidR="00460264" w:rsidRPr="005A1E3D">
        <w:rPr>
          <w:color w:val="384575"/>
        </w:rPr>
        <w:t xml:space="preserve"> o </w:t>
      </w:r>
      <w:r w:rsidRPr="005A1E3D">
        <w:rPr>
          <w:color w:val="384575"/>
        </w:rPr>
        <w:t>porušení práva“ (viz nález Ústavního soudu 372/1993 ze dne 13. prosince FJ 2; nebo 265/1996 ze dne 19. září FJ 5).</w:t>
      </w:r>
      <w:r w:rsidR="00460264" w:rsidRPr="005A1E3D">
        <w:rPr>
          <w:color w:val="384575"/>
        </w:rPr>
        <w:t xml:space="preserve"> A </w:t>
      </w:r>
      <w:r w:rsidRPr="005A1E3D">
        <w:rPr>
          <w:color w:val="384575"/>
        </w:rPr>
        <w:t>ve skutečnosti Soudní dvůr</w:t>
      </w:r>
      <w:r w:rsidR="00460264" w:rsidRPr="005A1E3D">
        <w:rPr>
          <w:color w:val="384575"/>
        </w:rPr>
        <w:t xml:space="preserve"> v </w:t>
      </w:r>
      <w:r w:rsidRPr="005A1E3D">
        <w:rPr>
          <w:color w:val="384575"/>
        </w:rPr>
        <w:t>ojedinělých případech připustil prostředky nápravy za porušení účinné soudní ochrany spojené</w:t>
      </w:r>
      <w:r w:rsidR="00460264" w:rsidRPr="005A1E3D">
        <w:rPr>
          <w:color w:val="384575"/>
        </w:rPr>
        <w:t xml:space="preserve"> s </w:t>
      </w:r>
      <w:r w:rsidRPr="005A1E3D">
        <w:rPr>
          <w:color w:val="384575"/>
        </w:rPr>
        <w:t xml:space="preserve">předložením předběžné otázky nebo správným výkladem judikatury SDEU, přičemž se omezil na určení rozdělení příslušnosti (viz nález Ústavního soudu 145/2012 ze dne 2. července, známý jako věc </w:t>
      </w:r>
      <w:proofErr w:type="spellStart"/>
      <w:r w:rsidRPr="005A1E3D">
        <w:rPr>
          <w:i/>
          <w:iCs/>
          <w:color w:val="384575"/>
        </w:rPr>
        <w:t>Iberdrola</w:t>
      </w:r>
      <w:proofErr w:type="spellEnd"/>
      <w:r w:rsidRPr="005A1E3D">
        <w:rPr>
          <w:color w:val="384575"/>
        </w:rPr>
        <w:t>).</w:t>
      </w:r>
    </w:p>
    <w:p w14:paraId="51C40E03" w14:textId="77777777" w:rsidR="0030456A" w:rsidRPr="005A1E3D" w:rsidRDefault="0030456A" w:rsidP="00740BB9">
      <w:pPr>
        <w:spacing w:after="120" w:line="276" w:lineRule="auto"/>
        <w:jc w:val="both"/>
        <w:rPr>
          <w:bCs/>
          <w:color w:val="384575"/>
        </w:rPr>
      </w:pPr>
      <w:r w:rsidRPr="005A1E3D">
        <w:rPr>
          <w:color w:val="384575"/>
        </w:rPr>
        <w:t>Je však také pravda, že Ústavní soud vytvořil kontroverzní doktrínu</w:t>
      </w:r>
      <w:r w:rsidR="00460264" w:rsidRPr="005A1E3D">
        <w:rPr>
          <w:color w:val="384575"/>
        </w:rPr>
        <w:t xml:space="preserve"> s </w:t>
      </w:r>
      <w:r w:rsidRPr="005A1E3D">
        <w:rPr>
          <w:color w:val="384575"/>
        </w:rPr>
        <w:t>ohledem na možné střety záruk</w:t>
      </w:r>
      <w:r w:rsidR="00460264" w:rsidRPr="005A1E3D">
        <w:rPr>
          <w:color w:val="384575"/>
        </w:rPr>
        <w:t xml:space="preserve"> v </w:t>
      </w:r>
      <w:r w:rsidRPr="005A1E3D">
        <w:rPr>
          <w:color w:val="384575"/>
        </w:rPr>
        <w:t>podobě vnitrostátní právní úpravy</w:t>
      </w:r>
      <w:r w:rsidR="00460264" w:rsidRPr="005A1E3D">
        <w:rPr>
          <w:color w:val="384575"/>
        </w:rPr>
        <w:t xml:space="preserve"> a </w:t>
      </w:r>
      <w:r w:rsidRPr="005A1E3D">
        <w:rPr>
          <w:color w:val="384575"/>
        </w:rPr>
        <w:t>Listiny.</w:t>
      </w:r>
      <w:r w:rsidR="00460264" w:rsidRPr="005A1E3D">
        <w:rPr>
          <w:color w:val="384575"/>
        </w:rPr>
        <w:t xml:space="preserve"> V </w:t>
      </w:r>
      <w:r w:rsidRPr="005A1E3D">
        <w:rPr>
          <w:color w:val="384575"/>
        </w:rPr>
        <w:t>Prohlášení 1/2004 ze dne 13. prosince Ústavní soud potvrdil, že</w:t>
      </w:r>
      <w:r w:rsidR="00460264" w:rsidRPr="005A1E3D">
        <w:rPr>
          <w:color w:val="384575"/>
        </w:rPr>
        <w:t xml:space="preserve"> v </w:t>
      </w:r>
      <w:r w:rsidRPr="005A1E3D">
        <w:rPr>
          <w:color w:val="384575"/>
        </w:rPr>
        <w:t>případě „hypotetického“ střetu „bude muset použití základních práv uvedených</w:t>
      </w:r>
      <w:r w:rsidR="00460264" w:rsidRPr="005A1E3D">
        <w:rPr>
          <w:color w:val="384575"/>
        </w:rPr>
        <w:t xml:space="preserve"> v </w:t>
      </w:r>
      <w:r w:rsidRPr="005A1E3D">
        <w:rPr>
          <w:color w:val="384575"/>
        </w:rPr>
        <w:t>Listině vnitrostátním soudcem, který je rovněž evropským soudcem, téměř bez výjimky předpokládat současné použití obdobného základního práva na vnitrostátní úrovni“. Tato myšlenka vycházela</w:t>
      </w:r>
      <w:r w:rsidR="00460264" w:rsidRPr="005A1E3D">
        <w:rPr>
          <w:color w:val="384575"/>
        </w:rPr>
        <w:t xml:space="preserve"> z </w:t>
      </w:r>
      <w:r w:rsidRPr="005A1E3D">
        <w:rPr>
          <w:color w:val="384575"/>
        </w:rPr>
        <w:t>toho, jak Ústavní soud vnímá Listinu</w:t>
      </w:r>
      <w:r w:rsidR="00460264" w:rsidRPr="005A1E3D">
        <w:rPr>
          <w:color w:val="384575"/>
        </w:rPr>
        <w:t xml:space="preserve"> a </w:t>
      </w:r>
      <w:r w:rsidRPr="005A1E3D">
        <w:rPr>
          <w:color w:val="384575"/>
        </w:rPr>
        <w:t>prvky, které mají vnitrostátní orgány při jejím použití zohlednit. Ústavní soud tak potvrdil, že „je jasně uvedeno, že Listina je</w:t>
      </w:r>
      <w:r w:rsidR="00460264" w:rsidRPr="005A1E3D">
        <w:rPr>
          <w:color w:val="384575"/>
        </w:rPr>
        <w:t xml:space="preserve"> v </w:t>
      </w:r>
      <w:r w:rsidRPr="005A1E3D">
        <w:rPr>
          <w:color w:val="384575"/>
        </w:rPr>
        <w:t>každém případě koncipována jako záruka minima, na němž lze rozvíjet obsah jednotlivých práv</w:t>
      </w:r>
      <w:r w:rsidR="00460264" w:rsidRPr="005A1E3D">
        <w:rPr>
          <w:color w:val="384575"/>
        </w:rPr>
        <w:t xml:space="preserve"> a </w:t>
      </w:r>
      <w:r w:rsidRPr="005A1E3D">
        <w:rPr>
          <w:color w:val="384575"/>
        </w:rPr>
        <w:t>svobod až na úroveň, která je zajišťuje</w:t>
      </w:r>
      <w:r w:rsidR="00460264" w:rsidRPr="005A1E3D">
        <w:rPr>
          <w:color w:val="384575"/>
        </w:rPr>
        <w:t xml:space="preserve"> v </w:t>
      </w:r>
      <w:r w:rsidRPr="005A1E3D">
        <w:rPr>
          <w:color w:val="384575"/>
        </w:rPr>
        <w:t>každé věci prostřednictvím vnitrostátního práva“. Idea,</w:t>
      </w:r>
      <w:r w:rsidR="00460264" w:rsidRPr="005A1E3D">
        <w:rPr>
          <w:color w:val="384575"/>
        </w:rPr>
        <w:t xml:space="preserve"> k </w:t>
      </w:r>
      <w:r w:rsidRPr="005A1E3D">
        <w:rPr>
          <w:color w:val="384575"/>
        </w:rPr>
        <w:t>níž bylo nutné dodat, že podle Ústavního soudu</w:t>
      </w:r>
      <w:r w:rsidR="00460264" w:rsidRPr="005A1E3D">
        <w:rPr>
          <w:color w:val="384575"/>
        </w:rPr>
        <w:t xml:space="preserve"> s </w:t>
      </w:r>
      <w:r w:rsidRPr="005A1E3D">
        <w:rPr>
          <w:color w:val="384575"/>
        </w:rPr>
        <w:t xml:space="preserve">ohledem na možný střet při použití mezinárodních závazků „zůstávají jako veřejná moc, která podléhá Ústavě“ (viz nález Ústavního soudu 64/1991 ze dne 22. března, ve věci </w:t>
      </w:r>
      <w:r w:rsidRPr="005A1E3D">
        <w:rPr>
          <w:i/>
          <w:iCs/>
          <w:color w:val="384575"/>
        </w:rPr>
        <w:t>APESCO</w:t>
      </w:r>
      <w:r w:rsidRPr="005A1E3D">
        <w:rPr>
          <w:color w:val="384575"/>
        </w:rPr>
        <w:t>, bod 8).</w:t>
      </w:r>
    </w:p>
    <w:p w14:paraId="695A5810" w14:textId="77777777" w:rsidR="0030456A" w:rsidRPr="005A1E3D" w:rsidRDefault="0030456A" w:rsidP="00740BB9">
      <w:pPr>
        <w:spacing w:after="120" w:line="276" w:lineRule="auto"/>
        <w:jc w:val="both"/>
        <w:rPr>
          <w:bCs/>
          <w:color w:val="384575"/>
        </w:rPr>
      </w:pPr>
      <w:r w:rsidRPr="005A1E3D">
        <w:rPr>
          <w:color w:val="384575"/>
        </w:rPr>
        <w:t>O několik let později požádal Ústavní soud</w:t>
      </w:r>
      <w:r w:rsidR="00460264" w:rsidRPr="005A1E3D">
        <w:rPr>
          <w:color w:val="384575"/>
        </w:rPr>
        <w:t xml:space="preserve"> o </w:t>
      </w:r>
      <w:r w:rsidRPr="005A1E3D">
        <w:rPr>
          <w:color w:val="384575"/>
        </w:rPr>
        <w:t>první rozhodnutí</w:t>
      </w:r>
      <w:r w:rsidR="00460264" w:rsidRPr="005A1E3D">
        <w:rPr>
          <w:color w:val="384575"/>
        </w:rPr>
        <w:t xml:space="preserve"> o </w:t>
      </w:r>
      <w:r w:rsidRPr="005A1E3D">
        <w:rPr>
          <w:color w:val="384575"/>
        </w:rPr>
        <w:t>předběžné otázce, které tuto konsolidovanou doktrínu zpochybnily. Jednalo se</w:t>
      </w:r>
      <w:r w:rsidR="00460264" w:rsidRPr="005A1E3D">
        <w:rPr>
          <w:color w:val="384575"/>
        </w:rPr>
        <w:t xml:space="preserve"> o </w:t>
      </w:r>
      <w:r w:rsidRPr="005A1E3D">
        <w:rPr>
          <w:color w:val="384575"/>
        </w:rPr>
        <w:t xml:space="preserve">spor S. </w:t>
      </w:r>
      <w:proofErr w:type="spellStart"/>
      <w:r w:rsidRPr="005A1E3D">
        <w:rPr>
          <w:color w:val="384575"/>
        </w:rPr>
        <w:t>Melloniho</w:t>
      </w:r>
      <w:proofErr w:type="spellEnd"/>
      <w:r w:rsidRPr="005A1E3D">
        <w:rPr>
          <w:color w:val="384575"/>
        </w:rPr>
        <w:t xml:space="preserve"> proti státnímu zástupci týkající se výkonu evropského zatýkacího rozkazu vydaného italskými orgány za účelem výkonu trestního rozhodnutí (rozsudek Soudního dvora ve věci </w:t>
      </w:r>
      <w:proofErr w:type="spellStart"/>
      <w:r w:rsidRPr="005A1E3D">
        <w:rPr>
          <w:i/>
          <w:iCs/>
          <w:color w:val="384575"/>
        </w:rPr>
        <w:t>Melloni</w:t>
      </w:r>
      <w:proofErr w:type="spellEnd"/>
      <w:r w:rsidRPr="005A1E3D">
        <w:rPr>
          <w:color w:val="384575"/>
        </w:rPr>
        <w:t>, C-399/11, ECLI:EU:C :2013:107). Ústavní soud vyjádřil pochybnosti</w:t>
      </w:r>
      <w:r w:rsidR="00460264" w:rsidRPr="005A1E3D">
        <w:rPr>
          <w:color w:val="384575"/>
        </w:rPr>
        <w:t xml:space="preserve"> </w:t>
      </w:r>
      <w:r w:rsidR="00460264" w:rsidRPr="005A1E3D">
        <w:rPr>
          <w:color w:val="384575"/>
        </w:rPr>
        <w:lastRenderedPageBreak/>
        <w:t>o </w:t>
      </w:r>
      <w:r w:rsidRPr="005A1E3D">
        <w:rPr>
          <w:color w:val="384575"/>
        </w:rPr>
        <w:t>slučitelnosti evropského zatýkacího rozkazu za účelem výkonu trestu uloženého</w:t>
      </w:r>
      <w:r w:rsidR="00460264" w:rsidRPr="005A1E3D">
        <w:rPr>
          <w:color w:val="384575"/>
        </w:rPr>
        <w:t xml:space="preserve"> v </w:t>
      </w:r>
      <w:r w:rsidRPr="005A1E3D">
        <w:rPr>
          <w:color w:val="384575"/>
        </w:rPr>
        <w:t>nepřítomnosti</w:t>
      </w:r>
      <w:r w:rsidR="00460264" w:rsidRPr="005A1E3D">
        <w:rPr>
          <w:color w:val="384575"/>
        </w:rPr>
        <w:t xml:space="preserve"> s </w:t>
      </w:r>
      <w:r w:rsidRPr="005A1E3D">
        <w:rPr>
          <w:color w:val="384575"/>
        </w:rPr>
        <w:t>článkem 47 Listiny. Španělský soud se tehdy rovněž dotazoval Soudního dvora EU na rozsah působnosti článku 53 Listiny</w:t>
      </w:r>
      <w:r w:rsidR="00460264" w:rsidRPr="005A1E3D">
        <w:rPr>
          <w:color w:val="384575"/>
        </w:rPr>
        <w:t xml:space="preserve"> a </w:t>
      </w:r>
      <w:r w:rsidRPr="005A1E3D">
        <w:rPr>
          <w:color w:val="384575"/>
        </w:rPr>
        <w:t>možnost podmínit uvedené předání přezkumem rozsudku „[...]</w:t>
      </w:r>
      <w:r w:rsidR="00460264" w:rsidRPr="005A1E3D">
        <w:rPr>
          <w:color w:val="384575"/>
        </w:rPr>
        <w:t xml:space="preserve"> v </w:t>
      </w:r>
      <w:r w:rsidRPr="005A1E3D">
        <w:rPr>
          <w:color w:val="384575"/>
        </w:rPr>
        <w:t>dožadujícím státě,</w:t>
      </w:r>
      <w:r w:rsidR="00460264" w:rsidRPr="005A1E3D">
        <w:rPr>
          <w:color w:val="384575"/>
        </w:rPr>
        <w:t xml:space="preserve"> a </w:t>
      </w:r>
      <w:r w:rsidRPr="005A1E3D">
        <w:rPr>
          <w:color w:val="384575"/>
        </w:rPr>
        <w:t>přiznat tak těmto právům vyšší úroveň ochrany, než jaká vyplývá</w:t>
      </w:r>
      <w:r w:rsidR="00460264" w:rsidRPr="005A1E3D">
        <w:rPr>
          <w:color w:val="384575"/>
        </w:rPr>
        <w:t xml:space="preserve"> z </w:t>
      </w:r>
      <w:r w:rsidRPr="005A1E3D">
        <w:rPr>
          <w:color w:val="384575"/>
        </w:rPr>
        <w:t>práva Evropské unie, za účelem vyloučení výkladu omezujícího nebo narušujícího základní právo uznané ústavou tohoto členského státu […]”.</w:t>
      </w:r>
    </w:p>
    <w:p w14:paraId="49F148E2" w14:textId="77777777" w:rsidR="0030456A" w:rsidRPr="005A1E3D" w:rsidRDefault="0030456A" w:rsidP="00740BB9">
      <w:pPr>
        <w:pStyle w:val="c01pointnumerotealtn"/>
        <w:spacing w:after="120" w:afterAutospacing="0" w:line="276" w:lineRule="auto"/>
        <w:jc w:val="both"/>
        <w:rPr>
          <w:color w:val="384575"/>
        </w:rPr>
      </w:pPr>
      <w:r w:rsidRPr="005A1E3D">
        <w:rPr>
          <w:color w:val="384575"/>
        </w:rPr>
        <w:t>Odpověď SDEU byla přesvědčivá, když uvedl, že „60. Je sice pravda, že článek 53 Listiny potvrzuje, že pokud akt unijního práva vyžaduje přijetí vnitrostátních prováděcích opatření, vnitrostátní orgány</w:t>
      </w:r>
      <w:r w:rsidR="00460264" w:rsidRPr="005A1E3D">
        <w:rPr>
          <w:color w:val="384575"/>
        </w:rPr>
        <w:t xml:space="preserve"> a </w:t>
      </w:r>
      <w:r w:rsidRPr="005A1E3D">
        <w:rPr>
          <w:color w:val="384575"/>
        </w:rPr>
        <w:t>soudy mohou uplatnit vnitrostátní standardy ochrany základních práv za předpokladu, že toto uplatnění neohrozí úroveň ochrany stanovenou</w:t>
      </w:r>
      <w:r w:rsidR="00460264" w:rsidRPr="005A1E3D">
        <w:rPr>
          <w:color w:val="384575"/>
        </w:rPr>
        <w:t xml:space="preserve"> v </w:t>
      </w:r>
      <w:r w:rsidRPr="005A1E3D">
        <w:rPr>
          <w:color w:val="384575"/>
        </w:rPr>
        <w:t>Listině, jak ji vykládá Soudní dvůr, ani přednost, jednotnost</w:t>
      </w:r>
      <w:r w:rsidR="00460264" w:rsidRPr="005A1E3D">
        <w:rPr>
          <w:color w:val="384575"/>
        </w:rPr>
        <w:t xml:space="preserve"> a </w:t>
      </w:r>
      <w:r w:rsidRPr="005A1E3D">
        <w:rPr>
          <w:color w:val="384575"/>
        </w:rPr>
        <w:t>účinnost unijního práva. [...]</w:t>
      </w:r>
      <w:bookmarkStart w:id="0" w:name="point63"/>
      <w:r w:rsidRPr="005A1E3D">
        <w:rPr>
          <w:color w:val="384575"/>
        </w:rPr>
        <w:t xml:space="preserve"> 63</w:t>
      </w:r>
      <w:bookmarkEnd w:id="0"/>
      <w:r w:rsidRPr="005A1E3D">
        <w:rPr>
          <w:color w:val="384575"/>
        </w:rPr>
        <w:t>. [...] členský stát by se mohl článku 53 Listiny dovolávat</w:t>
      </w:r>
      <w:r w:rsidR="00460264" w:rsidRPr="005A1E3D">
        <w:rPr>
          <w:color w:val="384575"/>
        </w:rPr>
        <w:t xml:space="preserve"> k </w:t>
      </w:r>
      <w:r w:rsidRPr="005A1E3D">
        <w:rPr>
          <w:color w:val="384575"/>
        </w:rPr>
        <w:t>tomu, aby předání osoby odsouzené</w:t>
      </w:r>
      <w:r w:rsidR="00460264" w:rsidRPr="005A1E3D">
        <w:rPr>
          <w:color w:val="384575"/>
        </w:rPr>
        <w:t xml:space="preserve"> v </w:t>
      </w:r>
      <w:r w:rsidRPr="005A1E3D">
        <w:rPr>
          <w:color w:val="384575"/>
        </w:rPr>
        <w:t>nepřítomnosti podřídil podmínce, že odsuzující rozhodnutí může být ve vystavujícím členském státě přezkoumáno za účelem vyloučení zásahu do práva na spravedlivý proces</w:t>
      </w:r>
      <w:r w:rsidR="00460264" w:rsidRPr="005A1E3D">
        <w:rPr>
          <w:color w:val="384575"/>
        </w:rPr>
        <w:t xml:space="preserve"> a </w:t>
      </w:r>
      <w:r w:rsidRPr="005A1E3D">
        <w:rPr>
          <w:color w:val="384575"/>
        </w:rPr>
        <w:t>práva na obhajobu zaručených ústavou vykonávajícího členského státu, narušilo by to jednotnost standardu ochrany základních práv […], bylo by to</w:t>
      </w:r>
      <w:r w:rsidR="00460264" w:rsidRPr="005A1E3D">
        <w:rPr>
          <w:color w:val="384575"/>
        </w:rPr>
        <w:t xml:space="preserve"> v </w:t>
      </w:r>
      <w:r w:rsidRPr="005A1E3D">
        <w:rPr>
          <w:color w:val="384575"/>
        </w:rPr>
        <w:t>rozporu se zásadami vzájemné důvěry</w:t>
      </w:r>
      <w:r w:rsidR="00460264" w:rsidRPr="005A1E3D">
        <w:rPr>
          <w:color w:val="384575"/>
        </w:rPr>
        <w:t xml:space="preserve"> a </w:t>
      </w:r>
      <w:r w:rsidRPr="005A1E3D">
        <w:rPr>
          <w:color w:val="384575"/>
        </w:rPr>
        <w:t>uznávání, které má toto rámcové rozhodnutí posilovat,</w:t>
      </w:r>
      <w:r w:rsidR="00460264" w:rsidRPr="005A1E3D">
        <w:rPr>
          <w:color w:val="384575"/>
        </w:rPr>
        <w:t xml:space="preserve"> a </w:t>
      </w:r>
      <w:r w:rsidRPr="005A1E3D">
        <w:rPr>
          <w:color w:val="384575"/>
        </w:rPr>
        <w:t>ohrožovalo by to tudíž účinnost uvedeného rámcového rozhodnutí“.</w:t>
      </w:r>
    </w:p>
    <w:p w14:paraId="4885F598" w14:textId="77777777" w:rsidR="0030456A" w:rsidRPr="005A1E3D" w:rsidRDefault="0030456A" w:rsidP="00740BB9">
      <w:pPr>
        <w:spacing w:after="120" w:line="276" w:lineRule="auto"/>
        <w:jc w:val="both"/>
        <w:rPr>
          <w:bCs/>
          <w:color w:val="384575"/>
        </w:rPr>
      </w:pPr>
      <w:r w:rsidRPr="005A1E3D">
        <w:rPr>
          <w:color w:val="384575"/>
        </w:rPr>
        <w:t xml:space="preserve">V reakci na výrok SDEU se Ústavní soud rozhodl pro pouhou hermeneutickou účinnost Listiny na základě </w:t>
      </w:r>
      <w:r w:rsidR="00460264" w:rsidRPr="005A1E3D">
        <w:rPr>
          <w:color w:val="384575"/>
        </w:rPr>
        <w:t>čl. </w:t>
      </w:r>
      <w:r w:rsidRPr="005A1E3D">
        <w:rPr>
          <w:color w:val="384575"/>
        </w:rPr>
        <w:t xml:space="preserve">10 odst. 2 španělské ústavy na úkor zásady přednosti podle </w:t>
      </w:r>
      <w:r w:rsidR="00460264" w:rsidRPr="005A1E3D">
        <w:rPr>
          <w:color w:val="384575"/>
        </w:rPr>
        <w:t>čl. </w:t>
      </w:r>
      <w:r w:rsidRPr="005A1E3D">
        <w:rPr>
          <w:color w:val="384575"/>
        </w:rPr>
        <w:t>93 španělské ústavy. Jinými slovy, zdá se, že Ústavní soud při uplatňování některých částí unijního práva vyjímá Listinu ze zásad přímé účinnosti</w:t>
      </w:r>
      <w:r w:rsidR="00460264" w:rsidRPr="005A1E3D">
        <w:rPr>
          <w:color w:val="384575"/>
        </w:rPr>
        <w:t xml:space="preserve"> a </w:t>
      </w:r>
      <w:r w:rsidRPr="005A1E3D">
        <w:rPr>
          <w:color w:val="384575"/>
        </w:rPr>
        <w:t>přednosti.</w:t>
      </w:r>
    </w:p>
    <w:p w14:paraId="562BACD9" w14:textId="77777777" w:rsidR="0030456A" w:rsidRPr="005A1E3D" w:rsidRDefault="0030456A" w:rsidP="00740BB9">
      <w:pPr>
        <w:spacing w:after="120" w:line="276" w:lineRule="auto"/>
        <w:jc w:val="both"/>
        <w:rPr>
          <w:bCs/>
          <w:color w:val="384575"/>
        </w:rPr>
      </w:pPr>
      <w:r w:rsidRPr="005A1E3D">
        <w:rPr>
          <w:color w:val="384575"/>
        </w:rPr>
        <w:t>V důsledku toho je</w:t>
      </w:r>
      <w:r w:rsidR="00460264" w:rsidRPr="005A1E3D">
        <w:rPr>
          <w:color w:val="384575"/>
        </w:rPr>
        <w:t xml:space="preserve"> v </w:t>
      </w:r>
      <w:r w:rsidRPr="005A1E3D">
        <w:rPr>
          <w:color w:val="384575"/>
        </w:rPr>
        <w:t>rámci rozhodování obecných španělských soudů použití Listiny</w:t>
      </w:r>
      <w:r w:rsidR="00460264" w:rsidRPr="005A1E3D">
        <w:rPr>
          <w:color w:val="384575"/>
        </w:rPr>
        <w:t xml:space="preserve"> v </w:t>
      </w:r>
      <w:r w:rsidRPr="005A1E3D">
        <w:rPr>
          <w:color w:val="384575"/>
        </w:rPr>
        <w:t>zásadě omezeno na přímý účinek</w:t>
      </w:r>
      <w:r w:rsidR="00460264" w:rsidRPr="005A1E3D">
        <w:rPr>
          <w:color w:val="384575"/>
        </w:rPr>
        <w:t xml:space="preserve"> a </w:t>
      </w:r>
      <w:r w:rsidRPr="005A1E3D">
        <w:rPr>
          <w:color w:val="384575"/>
        </w:rPr>
        <w:t>provedení směrnic do vnitrostátního práva. Ve skutečnosti je běžné, že španělští soudci považují Listinu za výkladový parametr</w:t>
      </w:r>
      <w:r w:rsidR="00460264" w:rsidRPr="005A1E3D">
        <w:rPr>
          <w:color w:val="384575"/>
        </w:rPr>
        <w:t xml:space="preserve"> a </w:t>
      </w:r>
      <w:r w:rsidRPr="005A1E3D">
        <w:rPr>
          <w:color w:val="384575"/>
        </w:rPr>
        <w:t>ignorují, že její právní síla je srovnatelná</w:t>
      </w:r>
      <w:r w:rsidR="00460264" w:rsidRPr="005A1E3D">
        <w:rPr>
          <w:color w:val="384575"/>
        </w:rPr>
        <w:t xml:space="preserve"> s </w:t>
      </w:r>
      <w:r w:rsidRPr="005A1E3D">
        <w:rPr>
          <w:color w:val="384575"/>
        </w:rPr>
        <w:t>primárním právem.</w:t>
      </w:r>
    </w:p>
    <w:p w14:paraId="6492D87F" w14:textId="77777777" w:rsidR="0030456A" w:rsidRPr="005A1E3D" w:rsidRDefault="0030456A" w:rsidP="00740BB9">
      <w:pPr>
        <w:spacing w:after="120" w:line="276" w:lineRule="auto"/>
        <w:jc w:val="both"/>
        <w:rPr>
          <w:bCs/>
          <w:color w:val="384575"/>
        </w:rPr>
      </w:pPr>
      <w:r w:rsidRPr="005A1E3D">
        <w:rPr>
          <w:color w:val="384575"/>
        </w:rPr>
        <w:t xml:space="preserve">SDEU poměrně přesně vymezil meze </w:t>
      </w:r>
      <w:r w:rsidR="00460264" w:rsidRPr="005A1E3D">
        <w:rPr>
          <w:color w:val="384575"/>
        </w:rPr>
        <w:t>čl. </w:t>
      </w:r>
      <w:r w:rsidRPr="005A1E3D">
        <w:rPr>
          <w:color w:val="384575"/>
        </w:rPr>
        <w:t>51 Listiny týkající se použitelnosti Listiny</w:t>
      </w:r>
      <w:r w:rsidR="00460264" w:rsidRPr="005A1E3D">
        <w:rPr>
          <w:color w:val="384575"/>
        </w:rPr>
        <w:t xml:space="preserve"> v </w:t>
      </w:r>
      <w:r w:rsidRPr="005A1E3D">
        <w:rPr>
          <w:color w:val="384575"/>
        </w:rPr>
        <w:t>případě směrnic.</w:t>
      </w:r>
      <w:r w:rsidR="00460264" w:rsidRPr="005A1E3D">
        <w:rPr>
          <w:color w:val="384575"/>
        </w:rPr>
        <w:t xml:space="preserve"> V </w:t>
      </w:r>
      <w:r w:rsidRPr="005A1E3D">
        <w:rPr>
          <w:color w:val="384575"/>
        </w:rPr>
        <w:t>tomto smyslu bude akt provedení směrnice do vnitrostátního práva spojen</w:t>
      </w:r>
      <w:r w:rsidR="00460264" w:rsidRPr="005A1E3D">
        <w:rPr>
          <w:color w:val="384575"/>
        </w:rPr>
        <w:t xml:space="preserve"> s </w:t>
      </w:r>
      <w:r w:rsidRPr="005A1E3D">
        <w:rPr>
          <w:color w:val="384575"/>
        </w:rPr>
        <w:t>Listinou</w:t>
      </w:r>
      <w:r w:rsidR="00460264" w:rsidRPr="005A1E3D">
        <w:rPr>
          <w:color w:val="384575"/>
        </w:rPr>
        <w:t xml:space="preserve"> v </w:t>
      </w:r>
      <w:r w:rsidRPr="005A1E3D">
        <w:rPr>
          <w:color w:val="384575"/>
        </w:rPr>
        <w:t>zásadě ve dvou situacích. Zaprvé, když její použití na konkrétní případ neumožňuje žádný prostor pro uvážení,</w:t>
      </w:r>
      <w:r w:rsidR="00460264" w:rsidRPr="005A1E3D">
        <w:rPr>
          <w:color w:val="384575"/>
        </w:rPr>
        <w:t xml:space="preserve"> a </w:t>
      </w:r>
      <w:r w:rsidRPr="005A1E3D">
        <w:rPr>
          <w:color w:val="384575"/>
        </w:rPr>
        <w:t>tedy ukládá členským státům konkrétní povinnost.</w:t>
      </w:r>
      <w:r w:rsidR="00460264" w:rsidRPr="005A1E3D">
        <w:rPr>
          <w:color w:val="384575"/>
        </w:rPr>
        <w:t xml:space="preserve"> A </w:t>
      </w:r>
      <w:r w:rsidRPr="005A1E3D">
        <w:rPr>
          <w:color w:val="384575"/>
        </w:rPr>
        <w:t>zadruhé, když provádění směrnice zahrnuje posouzení, které může narušit účinnost unijního práva.</w:t>
      </w:r>
    </w:p>
    <w:p w14:paraId="3EAB7051" w14:textId="5914CFEB" w:rsidR="00F766DC" w:rsidRPr="005A1E3D" w:rsidRDefault="0030456A" w:rsidP="00740BB9">
      <w:pPr>
        <w:spacing w:after="120" w:line="276" w:lineRule="auto"/>
        <w:jc w:val="both"/>
        <w:rPr>
          <w:bCs/>
          <w:color w:val="384575"/>
        </w:rPr>
      </w:pPr>
      <w:r w:rsidRPr="005A1E3D">
        <w:rPr>
          <w:color w:val="384575"/>
        </w:rPr>
        <w:t>Většina obecných španělských soudů se</w:t>
      </w:r>
      <w:r w:rsidR="00460264" w:rsidRPr="005A1E3D">
        <w:rPr>
          <w:color w:val="384575"/>
        </w:rPr>
        <w:t xml:space="preserve"> v </w:t>
      </w:r>
      <w:r w:rsidRPr="005A1E3D">
        <w:rPr>
          <w:color w:val="384575"/>
        </w:rPr>
        <w:t>souladu</w:t>
      </w:r>
      <w:r w:rsidR="00460264" w:rsidRPr="005A1E3D">
        <w:rPr>
          <w:color w:val="384575"/>
        </w:rPr>
        <w:t xml:space="preserve"> s </w:t>
      </w:r>
      <w:r w:rsidRPr="005A1E3D">
        <w:rPr>
          <w:color w:val="384575"/>
        </w:rPr>
        <w:t>doktrínou Ústavního soudu staví proti aktům provedení evropských směrnic</w:t>
      </w:r>
      <w:r w:rsidR="00460264" w:rsidRPr="005A1E3D">
        <w:rPr>
          <w:color w:val="384575"/>
        </w:rPr>
        <w:t xml:space="preserve"> a </w:t>
      </w:r>
      <w:r w:rsidRPr="005A1E3D">
        <w:rPr>
          <w:color w:val="384575"/>
        </w:rPr>
        <w:t>určuje meze uvážení na základě Listiny. Tato skutečnost vedla</w:t>
      </w:r>
      <w:r w:rsidR="00460264" w:rsidRPr="005A1E3D">
        <w:rPr>
          <w:color w:val="384575"/>
        </w:rPr>
        <w:t xml:space="preserve"> k </w:t>
      </w:r>
      <w:r w:rsidRPr="005A1E3D">
        <w:rPr>
          <w:color w:val="384575"/>
        </w:rPr>
        <w:t>předložení velkého množství žádostí</w:t>
      </w:r>
      <w:r w:rsidR="00460264" w:rsidRPr="005A1E3D">
        <w:rPr>
          <w:color w:val="384575"/>
        </w:rPr>
        <w:t xml:space="preserve"> o </w:t>
      </w:r>
      <w:r w:rsidRPr="005A1E3D">
        <w:rPr>
          <w:color w:val="384575"/>
        </w:rPr>
        <w:t>rozhodnutí</w:t>
      </w:r>
      <w:r w:rsidR="00460264" w:rsidRPr="005A1E3D">
        <w:rPr>
          <w:color w:val="384575"/>
        </w:rPr>
        <w:t xml:space="preserve"> o </w:t>
      </w:r>
      <w:r w:rsidRPr="005A1E3D">
        <w:rPr>
          <w:color w:val="384575"/>
        </w:rPr>
        <w:t>předběžných otázkách týkajících se použití Listiny</w:t>
      </w:r>
      <w:r w:rsidR="00460264" w:rsidRPr="005A1E3D">
        <w:rPr>
          <w:color w:val="384575"/>
        </w:rPr>
        <w:t xml:space="preserve"> v </w:t>
      </w:r>
      <w:r w:rsidRPr="005A1E3D">
        <w:rPr>
          <w:color w:val="384575"/>
        </w:rPr>
        <w:t>případě směrnic. Například otázky</w:t>
      </w:r>
      <w:r w:rsidR="00460264" w:rsidRPr="005A1E3D">
        <w:rPr>
          <w:color w:val="384575"/>
        </w:rPr>
        <w:t xml:space="preserve"> o </w:t>
      </w:r>
      <w:r w:rsidRPr="005A1E3D">
        <w:rPr>
          <w:color w:val="384575"/>
        </w:rPr>
        <w:t xml:space="preserve">zpracování osobních údajů ve věci </w:t>
      </w:r>
      <w:r w:rsidRPr="005A1E3D">
        <w:rPr>
          <w:i/>
          <w:iCs/>
          <w:color w:val="384575"/>
        </w:rPr>
        <w:t xml:space="preserve">ASNEF </w:t>
      </w:r>
      <w:r w:rsidRPr="005A1E3D">
        <w:rPr>
          <w:color w:val="384575"/>
        </w:rPr>
        <w:t>(C-468/10</w:t>
      </w:r>
      <w:r w:rsidR="00460264" w:rsidRPr="005A1E3D">
        <w:rPr>
          <w:color w:val="384575"/>
        </w:rPr>
        <w:t xml:space="preserve"> a </w:t>
      </w:r>
      <w:r w:rsidRPr="005A1E3D">
        <w:rPr>
          <w:color w:val="384575"/>
        </w:rPr>
        <w:t>C-469/10, ECLI:EU:C:2011:777);</w:t>
      </w:r>
      <w:r w:rsidR="00460264" w:rsidRPr="005A1E3D">
        <w:rPr>
          <w:color w:val="384575"/>
        </w:rPr>
        <w:t xml:space="preserve"> o </w:t>
      </w:r>
      <w:r w:rsidRPr="005A1E3D">
        <w:rPr>
          <w:color w:val="384575"/>
        </w:rPr>
        <w:t>spotřebitelích</w:t>
      </w:r>
      <w:r w:rsidR="00460264" w:rsidRPr="005A1E3D">
        <w:rPr>
          <w:color w:val="384575"/>
        </w:rPr>
        <w:t xml:space="preserve"> a </w:t>
      </w:r>
      <w:r w:rsidRPr="005A1E3D">
        <w:rPr>
          <w:color w:val="384575"/>
        </w:rPr>
        <w:t>zneužívajících ustanoveních</w:t>
      </w:r>
      <w:r w:rsidR="00460264" w:rsidRPr="005A1E3D">
        <w:rPr>
          <w:color w:val="384575"/>
        </w:rPr>
        <w:t xml:space="preserve"> v </w:t>
      </w:r>
      <w:r w:rsidRPr="005A1E3D">
        <w:rPr>
          <w:color w:val="384575"/>
        </w:rPr>
        <w:t xml:space="preserve">hypotečních úvěrech ve věcech </w:t>
      </w:r>
      <w:r w:rsidRPr="005A1E3D">
        <w:rPr>
          <w:i/>
          <w:iCs/>
          <w:color w:val="384575"/>
        </w:rPr>
        <w:t xml:space="preserve">Aziz </w:t>
      </w:r>
      <w:r w:rsidRPr="005A1E3D">
        <w:rPr>
          <w:color w:val="384575"/>
        </w:rPr>
        <w:t>(</w:t>
      </w:r>
      <w:proofErr w:type="gramStart"/>
      <w:r w:rsidRPr="005A1E3D">
        <w:rPr>
          <w:color w:val="384575"/>
        </w:rPr>
        <w:t>C- 415</w:t>
      </w:r>
      <w:proofErr w:type="gramEnd"/>
      <w:r w:rsidRPr="005A1E3D">
        <w:rPr>
          <w:color w:val="384575"/>
        </w:rPr>
        <w:t>/11, ECLI:EU:C:2013:164)</w:t>
      </w:r>
      <w:r w:rsidR="00460264" w:rsidRPr="005A1E3D">
        <w:rPr>
          <w:color w:val="384575"/>
        </w:rPr>
        <w:t xml:space="preserve"> a </w:t>
      </w:r>
      <w:proofErr w:type="spellStart"/>
      <w:r w:rsidRPr="005A1E3D">
        <w:rPr>
          <w:i/>
          <w:iCs/>
          <w:color w:val="384575"/>
        </w:rPr>
        <w:t>Sánchez</w:t>
      </w:r>
      <w:proofErr w:type="spellEnd"/>
      <w:r w:rsidRPr="005A1E3D">
        <w:rPr>
          <w:i/>
          <w:iCs/>
          <w:color w:val="384575"/>
        </w:rPr>
        <w:t xml:space="preserve"> </w:t>
      </w:r>
      <w:proofErr w:type="spellStart"/>
      <w:r w:rsidRPr="005A1E3D">
        <w:rPr>
          <w:i/>
          <w:iCs/>
          <w:color w:val="384575"/>
        </w:rPr>
        <w:t>Morcillo</w:t>
      </w:r>
      <w:proofErr w:type="spellEnd"/>
      <w:r w:rsidRPr="005A1E3D">
        <w:rPr>
          <w:color w:val="384575"/>
        </w:rPr>
        <w:t xml:space="preserve"> (C-</w:t>
      </w:r>
      <w:r w:rsidRPr="005A1E3D">
        <w:rPr>
          <w:color w:val="384575"/>
        </w:rPr>
        <w:lastRenderedPageBreak/>
        <w:t>169/14, ECLI: EU:C:2014:2099);</w:t>
      </w:r>
      <w:r w:rsidR="00460264" w:rsidRPr="005A1E3D">
        <w:rPr>
          <w:color w:val="384575"/>
        </w:rPr>
        <w:t xml:space="preserve"> o </w:t>
      </w:r>
      <w:r w:rsidRPr="005A1E3D">
        <w:rPr>
          <w:color w:val="384575"/>
        </w:rPr>
        <w:t xml:space="preserve">diskriminaci na základě věku ve veřejné výzvě ve věci </w:t>
      </w:r>
      <w:proofErr w:type="spellStart"/>
      <w:r w:rsidRPr="005A1E3D">
        <w:rPr>
          <w:i/>
          <w:iCs/>
          <w:color w:val="384575"/>
        </w:rPr>
        <w:t>Vital</w:t>
      </w:r>
      <w:proofErr w:type="spellEnd"/>
      <w:r w:rsidRPr="005A1E3D">
        <w:rPr>
          <w:i/>
          <w:iCs/>
          <w:color w:val="384575"/>
        </w:rPr>
        <w:t xml:space="preserve"> </w:t>
      </w:r>
      <w:proofErr w:type="spellStart"/>
      <w:r w:rsidRPr="005A1E3D">
        <w:rPr>
          <w:i/>
          <w:iCs/>
          <w:color w:val="384575"/>
        </w:rPr>
        <w:t>Pérez</w:t>
      </w:r>
      <w:proofErr w:type="spellEnd"/>
      <w:r w:rsidRPr="005A1E3D">
        <w:rPr>
          <w:color w:val="384575"/>
        </w:rPr>
        <w:t xml:space="preserve"> (C-416/13, ECLI:EU:C:2014:2371); nebo</w:t>
      </w:r>
      <w:r w:rsidR="00460264" w:rsidRPr="005A1E3D">
        <w:rPr>
          <w:color w:val="384575"/>
        </w:rPr>
        <w:t xml:space="preserve"> o </w:t>
      </w:r>
      <w:r w:rsidRPr="005A1E3D">
        <w:rPr>
          <w:color w:val="384575"/>
        </w:rPr>
        <w:t>pracovních smlouvách</w:t>
      </w:r>
      <w:r w:rsidR="00460264" w:rsidRPr="005A1E3D">
        <w:rPr>
          <w:color w:val="384575"/>
        </w:rPr>
        <w:t xml:space="preserve"> a </w:t>
      </w:r>
      <w:r w:rsidRPr="005A1E3D">
        <w:rPr>
          <w:color w:val="384575"/>
        </w:rPr>
        <w:t xml:space="preserve">zkušebních dobách ve věci </w:t>
      </w:r>
      <w:proofErr w:type="spellStart"/>
      <w:r w:rsidRPr="005A1E3D">
        <w:rPr>
          <w:i/>
          <w:iCs/>
          <w:color w:val="384575"/>
        </w:rPr>
        <w:t>Nisttahuz</w:t>
      </w:r>
      <w:proofErr w:type="spellEnd"/>
      <w:r w:rsidRPr="005A1E3D">
        <w:rPr>
          <w:color w:val="384575"/>
        </w:rPr>
        <w:t xml:space="preserve"> (C-117/14, ECLI:EU:C:2015:60).</w:t>
      </w:r>
    </w:p>
    <w:p w14:paraId="5C322930" w14:textId="77777777" w:rsidR="00DE6339" w:rsidRPr="00DE6339" w:rsidRDefault="00DE6339" w:rsidP="00740BB9">
      <w:pPr>
        <w:spacing w:after="120" w:line="276" w:lineRule="auto"/>
        <w:jc w:val="both"/>
        <w:rPr>
          <w:bCs/>
        </w:rPr>
      </w:pPr>
    </w:p>
    <w:p w14:paraId="7B9A02B0" w14:textId="77777777" w:rsidR="00F766DC" w:rsidRPr="007D56D6" w:rsidRDefault="00F766DC" w:rsidP="00740BB9">
      <w:pPr>
        <w:spacing w:after="120" w:line="276" w:lineRule="auto"/>
        <w:jc w:val="both"/>
        <w:rPr>
          <w:rFonts w:cstheme="minorHAnsi"/>
          <w:highlight w:val="yellow"/>
        </w:rPr>
      </w:pPr>
    </w:p>
    <w:p w14:paraId="7400CB14" w14:textId="77777777" w:rsidR="00505929" w:rsidRDefault="00505929" w:rsidP="00A12D5C">
      <w:pPr>
        <w:pStyle w:val="Odstavecseseznamem"/>
        <w:numPr>
          <w:ilvl w:val="2"/>
          <w:numId w:val="1"/>
        </w:numPr>
        <w:spacing w:line="276" w:lineRule="auto"/>
        <w:ind w:left="851" w:hanging="851"/>
        <w:jc w:val="both"/>
        <w:rPr>
          <w:b/>
          <w:color w:val="2F55A2"/>
          <w:sz w:val="28"/>
          <w:szCs w:val="28"/>
        </w:rPr>
      </w:pPr>
      <w:r w:rsidRPr="00F766DC">
        <w:rPr>
          <w:b/>
          <w:color w:val="2F55A2"/>
          <w:sz w:val="28"/>
          <w:szCs w:val="28"/>
        </w:rPr>
        <w:t>Irsko</w:t>
      </w:r>
    </w:p>
    <w:p w14:paraId="61D92F67" w14:textId="77777777" w:rsidR="00F766DC" w:rsidRPr="00F766DC" w:rsidRDefault="00F766DC" w:rsidP="00F766DC">
      <w:pPr>
        <w:pStyle w:val="Odstavecseseznamem"/>
        <w:spacing w:line="276" w:lineRule="auto"/>
        <w:jc w:val="both"/>
        <w:rPr>
          <w:b/>
          <w:color w:val="2F55A2"/>
          <w:sz w:val="28"/>
          <w:szCs w:val="28"/>
        </w:rPr>
      </w:pPr>
    </w:p>
    <w:p w14:paraId="5D7BA36B" w14:textId="77777777" w:rsidR="00740BB9" w:rsidRPr="005A1E3D" w:rsidRDefault="00740BB9" w:rsidP="00740BB9">
      <w:pPr>
        <w:spacing w:after="120" w:line="276" w:lineRule="auto"/>
        <w:jc w:val="both"/>
        <w:rPr>
          <w:color w:val="384575"/>
        </w:rPr>
      </w:pPr>
      <w:r w:rsidRPr="005A1E3D">
        <w:rPr>
          <w:color w:val="384575"/>
        </w:rPr>
        <w:t>Irská ústava odkazuje na přednost práva Evropské unie</w:t>
      </w:r>
      <w:r w:rsidR="00460264" w:rsidRPr="005A1E3D">
        <w:rPr>
          <w:color w:val="384575"/>
        </w:rPr>
        <w:t xml:space="preserve"> v </w:t>
      </w:r>
      <w:r w:rsidRPr="005A1E3D">
        <w:rPr>
          <w:color w:val="384575"/>
        </w:rPr>
        <w:t>článku 29, ale Listinu výslovně nezmiňuje.</w:t>
      </w:r>
      <w:r w:rsidR="00460264" w:rsidRPr="005A1E3D">
        <w:rPr>
          <w:color w:val="384575"/>
        </w:rPr>
        <w:t xml:space="preserve"> V </w:t>
      </w:r>
      <w:r w:rsidRPr="005A1E3D">
        <w:rPr>
          <w:color w:val="384575"/>
        </w:rPr>
        <w:t>této souvislosti stojí za pozornost, že byla nutná změna, která by umožnila přistoupení státu</w:t>
      </w:r>
      <w:r w:rsidR="00460264" w:rsidRPr="005A1E3D">
        <w:rPr>
          <w:color w:val="384575"/>
        </w:rPr>
        <w:t xml:space="preserve"> k </w:t>
      </w:r>
      <w:r w:rsidRPr="005A1E3D">
        <w:rPr>
          <w:color w:val="384575"/>
        </w:rPr>
        <w:t>EU</w:t>
      </w:r>
      <w:r w:rsidR="00460264" w:rsidRPr="005A1E3D">
        <w:rPr>
          <w:color w:val="384575"/>
        </w:rPr>
        <w:t xml:space="preserve"> a </w:t>
      </w:r>
      <w:r w:rsidRPr="005A1E3D">
        <w:rPr>
          <w:color w:val="384575"/>
        </w:rPr>
        <w:t>zabránila rozporům mezi ústavními ustanoveními</w:t>
      </w:r>
      <w:r w:rsidR="00460264" w:rsidRPr="005A1E3D">
        <w:rPr>
          <w:color w:val="384575"/>
        </w:rPr>
        <w:t xml:space="preserve"> a </w:t>
      </w:r>
      <w:r w:rsidRPr="005A1E3D">
        <w:rPr>
          <w:color w:val="384575"/>
        </w:rPr>
        <w:t>unijním právem. Toho bylo dosaženo třetí novelou zákona</w:t>
      </w:r>
      <w:r w:rsidR="00460264" w:rsidRPr="005A1E3D">
        <w:rPr>
          <w:color w:val="384575"/>
        </w:rPr>
        <w:t xml:space="preserve"> o </w:t>
      </w:r>
      <w:r w:rsidRPr="005A1E3D">
        <w:rPr>
          <w:color w:val="384575"/>
        </w:rPr>
        <w:t>ústavě</w:t>
      </w:r>
      <w:r w:rsidR="00460264" w:rsidRPr="005A1E3D">
        <w:rPr>
          <w:color w:val="384575"/>
        </w:rPr>
        <w:t xml:space="preserve"> z </w:t>
      </w:r>
      <w:r w:rsidRPr="005A1E3D">
        <w:rPr>
          <w:color w:val="384575"/>
        </w:rPr>
        <w:t>roku 1972.</w:t>
      </w:r>
    </w:p>
    <w:p w14:paraId="6B39221A" w14:textId="77777777" w:rsidR="00740BB9" w:rsidRPr="005A1E3D" w:rsidRDefault="00740BB9" w:rsidP="00740BB9">
      <w:pPr>
        <w:spacing w:after="120" w:line="276" w:lineRule="auto"/>
        <w:jc w:val="both"/>
        <w:rPr>
          <w:color w:val="384575"/>
        </w:rPr>
      </w:pPr>
      <w:r w:rsidRPr="005A1E3D">
        <w:rPr>
          <w:color w:val="384575"/>
        </w:rPr>
        <w:t>V prosinci 2009 došlo</w:t>
      </w:r>
      <w:r w:rsidR="00460264" w:rsidRPr="005A1E3D">
        <w:rPr>
          <w:color w:val="384575"/>
        </w:rPr>
        <w:t xml:space="preserve"> k </w:t>
      </w:r>
      <w:r w:rsidRPr="005A1E3D">
        <w:rPr>
          <w:color w:val="384575"/>
        </w:rPr>
        <w:t>zásadnímu posunu</w:t>
      </w:r>
      <w:r w:rsidR="00460264" w:rsidRPr="005A1E3D">
        <w:rPr>
          <w:color w:val="384575"/>
        </w:rPr>
        <w:t xml:space="preserve"> v </w:t>
      </w:r>
      <w:r w:rsidRPr="005A1E3D">
        <w:rPr>
          <w:color w:val="384575"/>
        </w:rPr>
        <w:t>rámci ochrany lidských práv</w:t>
      </w:r>
      <w:r w:rsidR="00460264" w:rsidRPr="005A1E3D">
        <w:rPr>
          <w:color w:val="384575"/>
        </w:rPr>
        <w:t xml:space="preserve"> v </w:t>
      </w:r>
      <w:r w:rsidRPr="005A1E3D">
        <w:rPr>
          <w:color w:val="384575"/>
        </w:rPr>
        <w:t>EU. Od té doby je Irsko vázáno Listinou, která má mezi členskými státy stejnou právní sílu jako Smlouvy</w:t>
      </w:r>
      <w:r w:rsidR="00460264" w:rsidRPr="005A1E3D">
        <w:rPr>
          <w:color w:val="384575"/>
        </w:rPr>
        <w:t xml:space="preserve"> o </w:t>
      </w:r>
      <w:r w:rsidRPr="005A1E3D">
        <w:rPr>
          <w:color w:val="384575"/>
        </w:rPr>
        <w:t>EU. Je důležité si uvědomit, že Listina vstupuje do hry pouze tehdy, když se objeví spor týkající se unijního práva.</w:t>
      </w:r>
      <w:r w:rsidRPr="005A1E3D">
        <w:rPr>
          <w:rStyle w:val="Znakapoznpodarou"/>
          <w:color w:val="384575"/>
          <w:lang w:val="en-GB"/>
        </w:rPr>
        <w:footnoteReference w:id="1"/>
      </w:r>
      <w:r w:rsidRPr="005A1E3D">
        <w:rPr>
          <w:color w:val="384575"/>
        </w:rPr>
        <w:t xml:space="preserve"> Listina EU je použitelná například tehdy, když členské státy EU přijímají nebo provádějí vnitrostátní právní předpisy, které obsahují unijní právo, nebo když jejich orgány unijní právo přímo použijí. Nicméně Listina nebude použitelná, pokud bude přijat nový irský zákon, který nemá</w:t>
      </w:r>
      <w:r w:rsidR="00460264" w:rsidRPr="005A1E3D">
        <w:rPr>
          <w:color w:val="384575"/>
        </w:rPr>
        <w:t xml:space="preserve"> s </w:t>
      </w:r>
      <w:r w:rsidRPr="005A1E3D">
        <w:rPr>
          <w:color w:val="384575"/>
        </w:rPr>
        <w:t>unijním právem nic společného. Pokud je Listina použitelná, irské soudy ji bezprostředně použijí</w:t>
      </w:r>
      <w:r w:rsidR="00460264" w:rsidRPr="005A1E3D">
        <w:rPr>
          <w:color w:val="384575"/>
        </w:rPr>
        <w:t xml:space="preserve"> a </w:t>
      </w:r>
      <w:r w:rsidRPr="005A1E3D">
        <w:rPr>
          <w:color w:val="384575"/>
        </w:rPr>
        <w:t>v případě sporu bude mít přednost před vnitrostátním právem. To znamená, že soudci irských soudů musí Listinu používat</w:t>
      </w:r>
      <w:r w:rsidR="00460264" w:rsidRPr="005A1E3D">
        <w:rPr>
          <w:color w:val="384575"/>
        </w:rPr>
        <w:t xml:space="preserve"> a </w:t>
      </w:r>
      <w:r w:rsidRPr="005A1E3D">
        <w:rPr>
          <w:color w:val="384575"/>
        </w:rPr>
        <w:t>na jejím základě může být podána žaloba.</w:t>
      </w:r>
      <w:r w:rsidR="00460264" w:rsidRPr="005A1E3D">
        <w:rPr>
          <w:color w:val="384575"/>
        </w:rPr>
        <w:t xml:space="preserve"> V </w:t>
      </w:r>
      <w:r w:rsidRPr="005A1E3D">
        <w:rPr>
          <w:color w:val="384575"/>
        </w:rPr>
        <w:t>následujícím textu bude jasněji formulováno, jak se to uplatňuje</w:t>
      </w:r>
      <w:r w:rsidR="00460264" w:rsidRPr="005A1E3D">
        <w:rPr>
          <w:color w:val="384575"/>
        </w:rPr>
        <w:t xml:space="preserve"> v </w:t>
      </w:r>
      <w:r w:rsidRPr="005A1E3D">
        <w:rPr>
          <w:color w:val="384575"/>
        </w:rPr>
        <w:t xml:space="preserve">soudní praxi. </w:t>
      </w:r>
    </w:p>
    <w:p w14:paraId="09DE1E4F" w14:textId="77777777" w:rsidR="00740BB9" w:rsidRPr="007D56D6" w:rsidRDefault="00740BB9" w:rsidP="00740BB9">
      <w:pPr>
        <w:spacing w:after="120" w:line="276" w:lineRule="auto"/>
        <w:jc w:val="both"/>
      </w:pPr>
    </w:p>
    <w:p w14:paraId="293D6EAE" w14:textId="77777777" w:rsidR="00740BB9" w:rsidRPr="00B602B4" w:rsidRDefault="007E150B" w:rsidP="00740BB9">
      <w:pPr>
        <w:spacing w:after="120" w:line="276" w:lineRule="auto"/>
        <w:jc w:val="both"/>
        <w:rPr>
          <w:b/>
          <w:bCs/>
          <w:i/>
          <w:color w:val="2F55A2"/>
        </w:rPr>
      </w:pPr>
      <w:r w:rsidRPr="00B602B4">
        <w:rPr>
          <w:b/>
          <w:bCs/>
          <w:i/>
          <w:color w:val="2F55A2"/>
        </w:rPr>
        <w:t>A. Osvětlení důležitosti lidských práv – jak irské soudy</w:t>
      </w:r>
      <w:r w:rsidR="00460264" w:rsidRPr="00B602B4">
        <w:rPr>
          <w:b/>
          <w:bCs/>
          <w:i/>
          <w:color w:val="2F55A2"/>
        </w:rPr>
        <w:t xml:space="preserve"> a </w:t>
      </w:r>
      <w:r w:rsidRPr="00B602B4">
        <w:rPr>
          <w:b/>
          <w:bCs/>
          <w:i/>
          <w:color w:val="2F55A2"/>
        </w:rPr>
        <w:t>SDEU zavádějí Listinu</w:t>
      </w:r>
      <w:r w:rsidR="00460264" w:rsidRPr="00B602B4">
        <w:rPr>
          <w:b/>
          <w:bCs/>
          <w:i/>
          <w:color w:val="2F55A2"/>
        </w:rPr>
        <w:t xml:space="preserve"> v </w:t>
      </w:r>
      <w:r w:rsidRPr="00B602B4">
        <w:rPr>
          <w:b/>
          <w:bCs/>
          <w:i/>
          <w:color w:val="2F55A2"/>
        </w:rPr>
        <w:t>Irsku.</w:t>
      </w:r>
    </w:p>
    <w:p w14:paraId="34CBC29B" w14:textId="77777777" w:rsidR="00740BB9" w:rsidRPr="005A1E3D" w:rsidRDefault="00740BB9" w:rsidP="00740BB9">
      <w:pPr>
        <w:spacing w:after="120" w:line="276" w:lineRule="auto"/>
        <w:jc w:val="both"/>
        <w:rPr>
          <w:color w:val="384575"/>
        </w:rPr>
      </w:pPr>
      <w:r w:rsidRPr="005A1E3D">
        <w:rPr>
          <w:color w:val="384575"/>
        </w:rPr>
        <w:t>Soudní dvůr EU (dále jen „SDEU“ nebo „Soudní dvůr“) se oblastí evropských základních práv dlouhodobě zabývá</w:t>
      </w:r>
      <w:r w:rsidR="00460264" w:rsidRPr="005A1E3D">
        <w:rPr>
          <w:color w:val="384575"/>
        </w:rPr>
        <w:t xml:space="preserve"> v </w:t>
      </w:r>
      <w:r w:rsidRPr="005A1E3D">
        <w:rPr>
          <w:color w:val="384575"/>
        </w:rPr>
        <w:t>omezené míře. Ačkoli počet případů týkajících se hmotněprávních nároků na ochranu lidských práv zůstával</w:t>
      </w:r>
      <w:r w:rsidR="00460264" w:rsidRPr="005A1E3D">
        <w:rPr>
          <w:color w:val="384575"/>
        </w:rPr>
        <w:t xml:space="preserve"> v </w:t>
      </w:r>
      <w:r w:rsidRPr="005A1E3D">
        <w:rPr>
          <w:color w:val="384575"/>
        </w:rPr>
        <w:t>prvních desetiletích nízký, Soudní dvůr</w:t>
      </w:r>
      <w:r w:rsidR="00460264" w:rsidRPr="005A1E3D">
        <w:rPr>
          <w:color w:val="384575"/>
        </w:rPr>
        <w:t xml:space="preserve"> v </w:t>
      </w:r>
      <w:r w:rsidRPr="005A1E3D">
        <w:rPr>
          <w:color w:val="384575"/>
        </w:rPr>
        <w:t>průběhu let dosáhl významných výsledků tím, že uznal základní práva za obecné zásady unijního práva</w:t>
      </w:r>
      <w:r w:rsidR="00460264" w:rsidRPr="005A1E3D">
        <w:rPr>
          <w:color w:val="384575"/>
        </w:rPr>
        <w:t xml:space="preserve"> a </w:t>
      </w:r>
      <w:r w:rsidRPr="005A1E3D">
        <w:rPr>
          <w:color w:val="384575"/>
        </w:rPr>
        <w:t>s těmito zásadami posuzuje slučitelnost vnitrostátních</w:t>
      </w:r>
      <w:r w:rsidR="00460264" w:rsidRPr="005A1E3D">
        <w:rPr>
          <w:color w:val="384575"/>
        </w:rPr>
        <w:t xml:space="preserve"> a </w:t>
      </w:r>
      <w:r w:rsidRPr="005A1E3D">
        <w:rPr>
          <w:color w:val="384575"/>
        </w:rPr>
        <w:t>evropských opatření. Soudní dvůr byl také často kritizován za to, že „na základní práva nedbá“, „nebere práva vážně“</w:t>
      </w:r>
      <w:r w:rsidR="00460264" w:rsidRPr="005A1E3D">
        <w:rPr>
          <w:color w:val="384575"/>
        </w:rPr>
        <w:t xml:space="preserve"> a </w:t>
      </w:r>
      <w:r w:rsidRPr="005A1E3D">
        <w:rPr>
          <w:color w:val="384575"/>
        </w:rPr>
        <w:t>využívá „</w:t>
      </w:r>
      <w:proofErr w:type="gramStart"/>
      <w:r w:rsidRPr="005A1E3D">
        <w:rPr>
          <w:color w:val="384575"/>
        </w:rPr>
        <w:t>diskuze</w:t>
      </w:r>
      <w:proofErr w:type="gramEnd"/>
      <w:r w:rsidR="00460264" w:rsidRPr="005A1E3D">
        <w:rPr>
          <w:color w:val="384575"/>
        </w:rPr>
        <w:t xml:space="preserve"> o </w:t>
      </w:r>
      <w:r w:rsidRPr="005A1E3D">
        <w:rPr>
          <w:color w:val="384575"/>
        </w:rPr>
        <w:t>právech“ za účelem podpory zásady přednosti unijního práva.</w:t>
      </w:r>
      <w:r w:rsidRPr="005A1E3D">
        <w:rPr>
          <w:rStyle w:val="Znakapoznpodarou"/>
          <w:color w:val="384575"/>
          <w:lang w:val="en-GB"/>
        </w:rPr>
        <w:footnoteReference w:id="2"/>
      </w:r>
    </w:p>
    <w:p w14:paraId="07F59365" w14:textId="77777777" w:rsidR="00740BB9" w:rsidRPr="005A1E3D" w:rsidRDefault="00740BB9" w:rsidP="00740BB9">
      <w:pPr>
        <w:spacing w:after="120" w:line="276" w:lineRule="auto"/>
        <w:jc w:val="both"/>
        <w:rPr>
          <w:color w:val="384575"/>
        </w:rPr>
      </w:pPr>
      <w:r w:rsidRPr="005A1E3D">
        <w:rPr>
          <w:color w:val="384575"/>
        </w:rPr>
        <w:t>Rozsah unijní politiky</w:t>
      </w:r>
      <w:r w:rsidR="00460264" w:rsidRPr="005A1E3D">
        <w:rPr>
          <w:color w:val="384575"/>
        </w:rPr>
        <w:t xml:space="preserve"> a </w:t>
      </w:r>
      <w:r w:rsidRPr="005A1E3D">
        <w:rPr>
          <w:color w:val="384575"/>
        </w:rPr>
        <w:t>práva se neustále zvětšuje</w:t>
      </w:r>
      <w:r w:rsidR="00460264" w:rsidRPr="005A1E3D">
        <w:rPr>
          <w:color w:val="384575"/>
        </w:rPr>
        <w:t xml:space="preserve"> a </w:t>
      </w:r>
      <w:r w:rsidRPr="005A1E3D">
        <w:rPr>
          <w:color w:val="384575"/>
        </w:rPr>
        <w:t>dnes se unijní zákonodárce zabývá širokou škálou témat, včetně bezpečnosti, ochrany soukromí</w:t>
      </w:r>
      <w:r w:rsidR="00460264" w:rsidRPr="005A1E3D">
        <w:rPr>
          <w:color w:val="384575"/>
        </w:rPr>
        <w:t xml:space="preserve"> a </w:t>
      </w:r>
      <w:r w:rsidRPr="005A1E3D">
        <w:rPr>
          <w:color w:val="384575"/>
        </w:rPr>
        <w:t>přistěhovalectví</w:t>
      </w:r>
      <w:r w:rsidR="00460264" w:rsidRPr="005A1E3D">
        <w:rPr>
          <w:color w:val="384575"/>
        </w:rPr>
        <w:t xml:space="preserve"> a </w:t>
      </w:r>
      <w:r w:rsidRPr="005A1E3D">
        <w:rPr>
          <w:color w:val="384575"/>
        </w:rPr>
        <w:t>azylu.</w:t>
      </w:r>
      <w:r>
        <w:t xml:space="preserve"> </w:t>
      </w:r>
      <w:r w:rsidRPr="005A1E3D">
        <w:rPr>
          <w:color w:val="384575"/>
        </w:rPr>
        <w:lastRenderedPageBreak/>
        <w:t>Jinak řečeno, EU je neustále se rozšiřující</w:t>
      </w:r>
      <w:r w:rsidR="00460264" w:rsidRPr="005A1E3D">
        <w:rPr>
          <w:color w:val="384575"/>
        </w:rPr>
        <w:t xml:space="preserve"> a </w:t>
      </w:r>
      <w:r w:rsidRPr="005A1E3D">
        <w:rPr>
          <w:color w:val="384575"/>
        </w:rPr>
        <w:t>všudypřítomný zákonodárný subjekt, který může různými způsoby ovlivňovat lidská práva, prosperitu</w:t>
      </w:r>
      <w:r w:rsidR="00460264" w:rsidRPr="005A1E3D">
        <w:rPr>
          <w:color w:val="384575"/>
        </w:rPr>
        <w:t xml:space="preserve"> a </w:t>
      </w:r>
      <w:r w:rsidRPr="005A1E3D">
        <w:rPr>
          <w:color w:val="384575"/>
        </w:rPr>
        <w:t>národní suverenitu.</w:t>
      </w:r>
      <w:r w:rsidR="00460264" w:rsidRPr="005A1E3D">
        <w:rPr>
          <w:color w:val="384575"/>
        </w:rPr>
        <w:t xml:space="preserve"> V </w:t>
      </w:r>
      <w:r w:rsidRPr="005A1E3D">
        <w:rPr>
          <w:color w:val="384575"/>
        </w:rPr>
        <w:t>důsledku toho dochází</w:t>
      </w:r>
      <w:r w:rsidR="00460264" w:rsidRPr="005A1E3D">
        <w:rPr>
          <w:color w:val="384575"/>
        </w:rPr>
        <w:t xml:space="preserve"> k </w:t>
      </w:r>
      <w:r w:rsidRPr="005A1E3D">
        <w:rPr>
          <w:color w:val="384575"/>
        </w:rPr>
        <w:t>neustálé interakci mezi irskými soudy</w:t>
      </w:r>
      <w:r w:rsidR="00460264" w:rsidRPr="005A1E3D">
        <w:rPr>
          <w:color w:val="384575"/>
        </w:rPr>
        <w:t xml:space="preserve"> a </w:t>
      </w:r>
      <w:r w:rsidRPr="005A1E3D">
        <w:rPr>
          <w:color w:val="384575"/>
        </w:rPr>
        <w:t>Soudním dvorem EU, pokud jde</w:t>
      </w:r>
      <w:r w:rsidR="00460264" w:rsidRPr="005A1E3D">
        <w:rPr>
          <w:color w:val="384575"/>
        </w:rPr>
        <w:t xml:space="preserve"> o </w:t>
      </w:r>
      <w:r w:rsidRPr="005A1E3D">
        <w:rPr>
          <w:color w:val="384575"/>
        </w:rPr>
        <w:t>žádosti</w:t>
      </w:r>
      <w:r w:rsidR="00460264" w:rsidRPr="005A1E3D">
        <w:rPr>
          <w:color w:val="384575"/>
        </w:rPr>
        <w:t xml:space="preserve"> o </w:t>
      </w:r>
      <w:r w:rsidRPr="005A1E3D">
        <w:rPr>
          <w:color w:val="384575"/>
        </w:rPr>
        <w:t>rozhodnutí ve věcech týkajících se lidských práv, jakož</w:t>
      </w:r>
      <w:r w:rsidR="00460264" w:rsidRPr="005A1E3D">
        <w:rPr>
          <w:color w:val="384575"/>
        </w:rPr>
        <w:t xml:space="preserve"> i </w:t>
      </w:r>
      <w:r w:rsidRPr="005A1E3D">
        <w:rPr>
          <w:color w:val="384575"/>
        </w:rPr>
        <w:t>výkladu</w:t>
      </w:r>
      <w:r w:rsidR="00460264" w:rsidRPr="005A1E3D">
        <w:rPr>
          <w:color w:val="384575"/>
        </w:rPr>
        <w:t xml:space="preserve"> a </w:t>
      </w:r>
      <w:r w:rsidRPr="005A1E3D">
        <w:rPr>
          <w:color w:val="384575"/>
        </w:rPr>
        <w:t xml:space="preserve">provádění Listiny práv. </w:t>
      </w:r>
    </w:p>
    <w:p w14:paraId="7324506C" w14:textId="77777777" w:rsidR="00740BB9" w:rsidRPr="005A1E3D" w:rsidRDefault="00740BB9" w:rsidP="00740BB9">
      <w:pPr>
        <w:spacing w:after="120" w:line="276" w:lineRule="auto"/>
        <w:jc w:val="both"/>
        <w:rPr>
          <w:color w:val="384575"/>
        </w:rPr>
      </w:pPr>
      <w:r w:rsidRPr="005A1E3D">
        <w:rPr>
          <w:color w:val="384575"/>
        </w:rPr>
        <w:t>V následujícím textu jsou zdůrazněny dva příklady těchto interakcí, které vedly</w:t>
      </w:r>
      <w:r w:rsidR="00460264" w:rsidRPr="005A1E3D">
        <w:rPr>
          <w:color w:val="384575"/>
        </w:rPr>
        <w:t xml:space="preserve"> k </w:t>
      </w:r>
      <w:r w:rsidRPr="005A1E3D">
        <w:rPr>
          <w:color w:val="384575"/>
        </w:rPr>
        <w:t xml:space="preserve">širšímu zavedení Listiny ve státě.  </w:t>
      </w:r>
    </w:p>
    <w:p w14:paraId="532E2B0E" w14:textId="77777777" w:rsidR="00740BB9" w:rsidRPr="00B602B4" w:rsidRDefault="00740BB9" w:rsidP="000A3B66">
      <w:pPr>
        <w:pStyle w:val="Odstavecseseznamem"/>
        <w:numPr>
          <w:ilvl w:val="0"/>
          <w:numId w:val="46"/>
        </w:numPr>
        <w:spacing w:after="120" w:line="276" w:lineRule="auto"/>
        <w:jc w:val="both"/>
        <w:rPr>
          <w:b/>
          <w:bCs/>
          <w:color w:val="2F55A2"/>
        </w:rPr>
      </w:pPr>
      <w:r w:rsidRPr="00B602B4">
        <w:rPr>
          <w:b/>
          <w:bCs/>
          <w:color w:val="2F55A2"/>
        </w:rPr>
        <w:t>Respektování soukromého</w:t>
      </w:r>
      <w:r w:rsidR="00460264" w:rsidRPr="00B602B4">
        <w:rPr>
          <w:b/>
          <w:bCs/>
          <w:color w:val="2F55A2"/>
        </w:rPr>
        <w:t xml:space="preserve"> a </w:t>
      </w:r>
      <w:r w:rsidRPr="00B602B4">
        <w:rPr>
          <w:b/>
          <w:bCs/>
          <w:color w:val="2F55A2"/>
        </w:rPr>
        <w:t>rodinného života</w:t>
      </w:r>
      <w:r w:rsidR="00460264" w:rsidRPr="00B602B4">
        <w:rPr>
          <w:b/>
          <w:bCs/>
          <w:color w:val="2F55A2"/>
        </w:rPr>
        <w:t xml:space="preserve"> a </w:t>
      </w:r>
      <w:r w:rsidRPr="00B602B4">
        <w:rPr>
          <w:b/>
          <w:bCs/>
          <w:color w:val="2F55A2"/>
        </w:rPr>
        <w:t xml:space="preserve">ochrana osobních údajů </w:t>
      </w:r>
    </w:p>
    <w:p w14:paraId="2D36A09D" w14:textId="77777777" w:rsidR="00740BB9" w:rsidRPr="005A1E3D" w:rsidRDefault="00740BB9" w:rsidP="00740BB9">
      <w:pPr>
        <w:spacing w:after="120" w:line="276" w:lineRule="auto"/>
        <w:jc w:val="both"/>
        <w:rPr>
          <w:color w:val="384575"/>
        </w:rPr>
      </w:pPr>
      <w:r w:rsidRPr="005A1E3D">
        <w:rPr>
          <w:color w:val="384575"/>
        </w:rPr>
        <w:t>Je nezbytné vykládat veškerá ustanovení sekundárního unijního práva</w:t>
      </w:r>
      <w:r w:rsidR="00460264" w:rsidRPr="005A1E3D">
        <w:rPr>
          <w:color w:val="384575"/>
        </w:rPr>
        <w:t xml:space="preserve"> v </w:t>
      </w:r>
      <w:r w:rsidRPr="005A1E3D">
        <w:rPr>
          <w:color w:val="384575"/>
        </w:rPr>
        <w:t>souladu</w:t>
      </w:r>
      <w:r w:rsidR="00460264" w:rsidRPr="005A1E3D">
        <w:rPr>
          <w:color w:val="384575"/>
        </w:rPr>
        <w:t xml:space="preserve"> s </w:t>
      </w:r>
      <w:r w:rsidRPr="005A1E3D">
        <w:rPr>
          <w:color w:val="384575"/>
        </w:rPr>
        <w:t>Listinou.  Za tímto účelem by se</w:t>
      </w:r>
      <w:r w:rsidR="00460264" w:rsidRPr="005A1E3D">
        <w:rPr>
          <w:color w:val="384575"/>
        </w:rPr>
        <w:t xml:space="preserve"> k </w:t>
      </w:r>
      <w:r w:rsidRPr="005A1E3D">
        <w:rPr>
          <w:color w:val="384575"/>
        </w:rPr>
        <w:t>sekundárnímu právu, které je</w:t>
      </w:r>
      <w:r w:rsidR="00460264" w:rsidRPr="005A1E3D">
        <w:rPr>
          <w:color w:val="384575"/>
        </w:rPr>
        <w:t xml:space="preserve"> v </w:t>
      </w:r>
      <w:r w:rsidRPr="005A1E3D">
        <w:rPr>
          <w:color w:val="384575"/>
        </w:rPr>
        <w:t>rozporu</w:t>
      </w:r>
      <w:r w:rsidR="00460264" w:rsidRPr="005A1E3D">
        <w:rPr>
          <w:color w:val="384575"/>
        </w:rPr>
        <w:t xml:space="preserve"> s </w:t>
      </w:r>
      <w:r w:rsidRPr="005A1E3D">
        <w:rPr>
          <w:color w:val="384575"/>
        </w:rPr>
        <w:t>Listinou, nemělo přihlížet, pokud není</w:t>
      </w:r>
      <w:r w:rsidR="00460264" w:rsidRPr="005A1E3D">
        <w:rPr>
          <w:color w:val="384575"/>
        </w:rPr>
        <w:t xml:space="preserve"> k </w:t>
      </w:r>
      <w:r w:rsidRPr="005A1E3D">
        <w:rPr>
          <w:color w:val="384575"/>
        </w:rPr>
        <w:t>dispozici odpovídající výklad.</w:t>
      </w:r>
      <w:r w:rsidR="00460264" w:rsidRPr="005A1E3D">
        <w:rPr>
          <w:color w:val="384575"/>
        </w:rPr>
        <w:t xml:space="preserve"> V </w:t>
      </w:r>
      <w:r w:rsidRPr="005A1E3D">
        <w:rPr>
          <w:color w:val="384575"/>
        </w:rPr>
        <w:t>případě přímé žaloby na neplatnost podle článku 263 Smlouvy</w:t>
      </w:r>
      <w:r w:rsidR="00460264" w:rsidRPr="005A1E3D">
        <w:rPr>
          <w:color w:val="384575"/>
        </w:rPr>
        <w:t xml:space="preserve"> o </w:t>
      </w:r>
      <w:r w:rsidRPr="005A1E3D">
        <w:rPr>
          <w:color w:val="384575"/>
        </w:rPr>
        <w:t>fungování Evropské unie (SFEU) nebo žádost</w:t>
      </w:r>
      <w:r w:rsidR="00460264" w:rsidRPr="005A1E3D">
        <w:rPr>
          <w:color w:val="384575"/>
        </w:rPr>
        <w:t xml:space="preserve"> o </w:t>
      </w:r>
      <w:r w:rsidRPr="005A1E3D">
        <w:rPr>
          <w:color w:val="384575"/>
        </w:rPr>
        <w:t>rozhodnutí</w:t>
      </w:r>
      <w:r w:rsidR="00460264" w:rsidRPr="005A1E3D">
        <w:rPr>
          <w:color w:val="384575"/>
        </w:rPr>
        <w:t xml:space="preserve"> o </w:t>
      </w:r>
      <w:r w:rsidRPr="005A1E3D">
        <w:rPr>
          <w:color w:val="384575"/>
        </w:rPr>
        <w:t>předběžné otázce (článek 267 SFEU) je SDEU jediným orgánem, který má pravomoc prohlásit ustanovení unijních právních předpisů za protiprávní. SDEU vydal řadu rozsudků, kterými prohlásil některá ustanovení unijních právních předpisů nebo celý sekundární unijní předpis za neplatné</w:t>
      </w:r>
      <w:r w:rsidR="00460264" w:rsidRPr="005A1E3D">
        <w:rPr>
          <w:color w:val="384575"/>
        </w:rPr>
        <w:t xml:space="preserve"> z </w:t>
      </w:r>
      <w:r w:rsidRPr="005A1E3D">
        <w:rPr>
          <w:color w:val="384575"/>
        </w:rPr>
        <w:t>důvodu jejich rozporu</w:t>
      </w:r>
      <w:r w:rsidR="00460264" w:rsidRPr="005A1E3D">
        <w:rPr>
          <w:color w:val="384575"/>
        </w:rPr>
        <w:t xml:space="preserve"> s </w:t>
      </w:r>
      <w:r w:rsidRPr="005A1E3D">
        <w:rPr>
          <w:color w:val="384575"/>
        </w:rPr>
        <w:t>Listinou, přičemž tyto rozsudky měly dopad na případy, které se týkaly Irské republiky (např. C-293/12). Tento konkrétní případ se týkal směrnice 2006/24/ES (dále jen „směrnice“), která upravovala ukládání telekomunikačních údajů poskytovateli internetových služeb</w:t>
      </w:r>
      <w:r w:rsidR="00460264" w:rsidRPr="005A1E3D">
        <w:rPr>
          <w:color w:val="384575"/>
        </w:rPr>
        <w:t xml:space="preserve"> a </w:t>
      </w:r>
      <w:r w:rsidRPr="005A1E3D">
        <w:rPr>
          <w:color w:val="384575"/>
        </w:rPr>
        <w:t>která by mohla být využita</w:t>
      </w:r>
      <w:r w:rsidR="00460264" w:rsidRPr="005A1E3D">
        <w:rPr>
          <w:color w:val="384575"/>
        </w:rPr>
        <w:t xml:space="preserve"> k </w:t>
      </w:r>
      <w:r w:rsidRPr="005A1E3D">
        <w:rPr>
          <w:color w:val="384575"/>
        </w:rPr>
        <w:t>boji proti závažné trestné činnosti</w:t>
      </w:r>
      <w:r w:rsidR="00460264" w:rsidRPr="005A1E3D">
        <w:rPr>
          <w:color w:val="384575"/>
        </w:rPr>
        <w:t xml:space="preserve"> v </w:t>
      </w:r>
      <w:r w:rsidRPr="005A1E3D">
        <w:rPr>
          <w:color w:val="384575"/>
        </w:rPr>
        <w:t>EU. Evropský parlament</w:t>
      </w:r>
      <w:r w:rsidR="00460264" w:rsidRPr="005A1E3D">
        <w:rPr>
          <w:color w:val="384575"/>
        </w:rPr>
        <w:t xml:space="preserve"> a </w:t>
      </w:r>
      <w:r w:rsidRPr="005A1E3D">
        <w:rPr>
          <w:color w:val="384575"/>
        </w:rPr>
        <w:t>Rada ji přijaly</w:t>
      </w:r>
      <w:r w:rsidR="00460264" w:rsidRPr="005A1E3D">
        <w:rPr>
          <w:color w:val="384575"/>
        </w:rPr>
        <w:t xml:space="preserve"> v </w:t>
      </w:r>
      <w:r w:rsidRPr="005A1E3D">
        <w:rPr>
          <w:color w:val="384575"/>
        </w:rPr>
        <w:t>roce 2006. Účelem směrnice bylo sjednotit různé vnitrostátní právní předpisy</w:t>
      </w:r>
      <w:r w:rsidR="00460264" w:rsidRPr="005A1E3D">
        <w:rPr>
          <w:color w:val="384575"/>
        </w:rPr>
        <w:t xml:space="preserve"> v </w:t>
      </w:r>
      <w:r w:rsidRPr="005A1E3D">
        <w:rPr>
          <w:color w:val="384575"/>
        </w:rPr>
        <w:t>EU, které upravují uchovávání údajů</w:t>
      </w:r>
      <w:r w:rsidR="00460264" w:rsidRPr="005A1E3D">
        <w:rPr>
          <w:color w:val="384575"/>
        </w:rPr>
        <w:t xml:space="preserve"> o </w:t>
      </w:r>
      <w:r w:rsidRPr="005A1E3D">
        <w:rPr>
          <w:color w:val="384575"/>
        </w:rPr>
        <w:t>původu, adresátovi</w:t>
      </w:r>
      <w:r w:rsidR="00460264" w:rsidRPr="005A1E3D">
        <w:rPr>
          <w:color w:val="384575"/>
        </w:rPr>
        <w:t xml:space="preserve"> a </w:t>
      </w:r>
      <w:r w:rsidRPr="005A1E3D">
        <w:rPr>
          <w:color w:val="384575"/>
        </w:rPr>
        <w:t>čase sdělení probíhajícího</w:t>
      </w:r>
      <w:r w:rsidR="00460264" w:rsidRPr="005A1E3D">
        <w:rPr>
          <w:color w:val="384575"/>
        </w:rPr>
        <w:t xml:space="preserve"> v </w:t>
      </w:r>
      <w:r w:rsidRPr="005A1E3D">
        <w:rPr>
          <w:color w:val="384575"/>
        </w:rPr>
        <w:t>rámci EU.</w:t>
      </w:r>
    </w:p>
    <w:p w14:paraId="23BC696C" w14:textId="77777777" w:rsidR="00740BB9" w:rsidRPr="005A1E3D" w:rsidRDefault="00740BB9" w:rsidP="00740BB9">
      <w:pPr>
        <w:spacing w:after="120" w:line="276" w:lineRule="auto"/>
        <w:jc w:val="both"/>
        <w:rPr>
          <w:color w:val="384575"/>
        </w:rPr>
      </w:pPr>
      <w:r w:rsidRPr="005A1E3D">
        <w:rPr>
          <w:color w:val="384575"/>
        </w:rPr>
        <w:t>Pokud jde</w:t>
      </w:r>
      <w:r w:rsidR="00460264" w:rsidRPr="005A1E3D">
        <w:rPr>
          <w:color w:val="384575"/>
        </w:rPr>
        <w:t xml:space="preserve"> o </w:t>
      </w:r>
      <w:r w:rsidRPr="005A1E3D">
        <w:rPr>
          <w:color w:val="384575"/>
        </w:rPr>
        <w:t>zákonnost opatření založených na této směrnici, byly zahájeny paralelní případy</w:t>
      </w:r>
      <w:r w:rsidR="00460264" w:rsidRPr="005A1E3D">
        <w:rPr>
          <w:color w:val="384575"/>
        </w:rPr>
        <w:t xml:space="preserve"> v </w:t>
      </w:r>
      <w:r w:rsidRPr="005A1E3D">
        <w:rPr>
          <w:color w:val="384575"/>
        </w:rPr>
        <w:t>Rakousku</w:t>
      </w:r>
      <w:r w:rsidR="00460264" w:rsidRPr="005A1E3D">
        <w:rPr>
          <w:color w:val="384575"/>
        </w:rPr>
        <w:t xml:space="preserve"> a </w:t>
      </w:r>
      <w:r w:rsidRPr="005A1E3D">
        <w:rPr>
          <w:color w:val="384575"/>
        </w:rPr>
        <w:t xml:space="preserve">Irsku. Digital </w:t>
      </w:r>
      <w:proofErr w:type="spellStart"/>
      <w:r w:rsidRPr="005A1E3D">
        <w:rPr>
          <w:color w:val="384575"/>
        </w:rPr>
        <w:t>Rights</w:t>
      </w:r>
      <w:proofErr w:type="spellEnd"/>
      <w:r w:rsidRPr="005A1E3D">
        <w:rPr>
          <w:color w:val="384575"/>
        </w:rPr>
        <w:t xml:space="preserve"> </w:t>
      </w:r>
      <w:proofErr w:type="spellStart"/>
      <w:r w:rsidRPr="005A1E3D">
        <w:rPr>
          <w:color w:val="384575"/>
        </w:rPr>
        <w:t>Ireland</w:t>
      </w:r>
      <w:proofErr w:type="spellEnd"/>
      <w:r w:rsidRPr="005A1E3D">
        <w:rPr>
          <w:color w:val="384575"/>
        </w:rPr>
        <w:t>, organizace pro občanská práva</w:t>
      </w:r>
      <w:r w:rsidR="00460264" w:rsidRPr="005A1E3D">
        <w:rPr>
          <w:color w:val="384575"/>
        </w:rPr>
        <w:t xml:space="preserve"> v </w:t>
      </w:r>
      <w:r w:rsidRPr="005A1E3D">
        <w:rPr>
          <w:color w:val="384575"/>
        </w:rPr>
        <w:t>tomto státě, uvedla, že směrnice byla použita jako základ pro nařízení týkající se hromadného sledování, které porušuje základní lidská práva. Rakouský ústavní soud</w:t>
      </w:r>
      <w:r w:rsidR="00460264" w:rsidRPr="005A1E3D">
        <w:rPr>
          <w:color w:val="384575"/>
        </w:rPr>
        <w:t xml:space="preserve"> a </w:t>
      </w:r>
      <w:r w:rsidRPr="005A1E3D">
        <w:rPr>
          <w:color w:val="384575"/>
        </w:rPr>
        <w:t>irský Vrchní soud tvrdily, že nemohou taková opatření posoudit, dokud nebude určena legitimita směrnice.</w:t>
      </w:r>
      <w:r w:rsidR="00460264" w:rsidRPr="005A1E3D">
        <w:rPr>
          <w:color w:val="384575"/>
        </w:rPr>
        <w:t xml:space="preserve"> V </w:t>
      </w:r>
      <w:r w:rsidRPr="005A1E3D">
        <w:rPr>
          <w:color w:val="384575"/>
        </w:rPr>
        <w:t>návaznosti na to byly otázky jednotlivých soudů předloženy SDEU. Po posouzení souladu směrnice</w:t>
      </w:r>
      <w:r w:rsidR="00460264" w:rsidRPr="005A1E3D">
        <w:rPr>
          <w:color w:val="384575"/>
        </w:rPr>
        <w:t xml:space="preserve"> s </w:t>
      </w:r>
      <w:r w:rsidRPr="005A1E3D">
        <w:rPr>
          <w:color w:val="384575"/>
        </w:rPr>
        <w:t>články 7</w:t>
      </w:r>
      <w:r w:rsidR="00460264" w:rsidRPr="005A1E3D">
        <w:rPr>
          <w:color w:val="384575"/>
        </w:rPr>
        <w:t xml:space="preserve"> a </w:t>
      </w:r>
      <w:r w:rsidRPr="005A1E3D">
        <w:rPr>
          <w:color w:val="384575"/>
        </w:rPr>
        <w:t xml:space="preserve">8 Listiny SDEU rozhodl, že směrnice je protiústavní. SDEU tvrdil, že směrnice porušuje jak právo na ochranu osobních údajů podle článku 8, tak právo na respektování soukromého života podle článku 7. Omezení těchto práv jsou podle </w:t>
      </w:r>
      <w:r w:rsidR="00460264" w:rsidRPr="005A1E3D">
        <w:rPr>
          <w:color w:val="384575"/>
        </w:rPr>
        <w:t>čl. </w:t>
      </w:r>
      <w:r w:rsidRPr="005A1E3D">
        <w:rPr>
          <w:color w:val="384575"/>
        </w:rPr>
        <w:t>52 odst. 1 Listiny přípustná pouze tehdy, pokud jsou stanovena zákonem, respektují základní práva zaručená Listinou</w:t>
      </w:r>
      <w:r w:rsidR="00460264" w:rsidRPr="005A1E3D">
        <w:rPr>
          <w:color w:val="384575"/>
        </w:rPr>
        <w:t xml:space="preserve"> a </w:t>
      </w:r>
      <w:r w:rsidRPr="005A1E3D">
        <w:rPr>
          <w:color w:val="384575"/>
        </w:rPr>
        <w:t>jsou přiměřená sledovanému legitimnímu cíli.</w:t>
      </w:r>
    </w:p>
    <w:p w14:paraId="0E252B87" w14:textId="77777777" w:rsidR="00740BB9" w:rsidRPr="005A1E3D" w:rsidRDefault="00740BB9" w:rsidP="00740BB9">
      <w:pPr>
        <w:spacing w:after="120" w:line="276" w:lineRule="auto"/>
        <w:jc w:val="both"/>
        <w:rPr>
          <w:color w:val="384575"/>
        </w:rPr>
      </w:pPr>
      <w:r w:rsidRPr="005A1E3D">
        <w:rPr>
          <w:color w:val="384575"/>
        </w:rPr>
        <w:t>SDEU dospěl</w:t>
      </w:r>
      <w:r w:rsidR="00460264" w:rsidRPr="005A1E3D">
        <w:rPr>
          <w:color w:val="384575"/>
        </w:rPr>
        <w:t xml:space="preserve"> k </w:t>
      </w:r>
      <w:r w:rsidRPr="005A1E3D">
        <w:rPr>
          <w:color w:val="384575"/>
        </w:rPr>
        <w:t>závěru, že použití směrnice by mohlo po dobu, která nebyla uvedena, ale mohla by se pohybovat od šesti do dvaceti čtyř měsíců, významně zasáhnout do základních práv každého občana EU. Pokud jde</w:t>
      </w:r>
      <w:r w:rsidR="00460264" w:rsidRPr="005A1E3D">
        <w:rPr>
          <w:color w:val="384575"/>
        </w:rPr>
        <w:t xml:space="preserve"> o </w:t>
      </w:r>
      <w:r w:rsidRPr="005A1E3D">
        <w:rPr>
          <w:color w:val="384575"/>
        </w:rPr>
        <w:t>podmínky uchovávání údajů</w:t>
      </w:r>
      <w:r w:rsidR="00460264" w:rsidRPr="005A1E3D">
        <w:rPr>
          <w:color w:val="384575"/>
        </w:rPr>
        <w:t xml:space="preserve"> a </w:t>
      </w:r>
      <w:r w:rsidRPr="005A1E3D">
        <w:rPr>
          <w:color w:val="384575"/>
        </w:rPr>
        <w:t>povinnosti poskytovatelů internetových služeb</w:t>
      </w:r>
      <w:r w:rsidR="00460264" w:rsidRPr="005A1E3D">
        <w:rPr>
          <w:color w:val="384575"/>
        </w:rPr>
        <w:t xml:space="preserve"> a </w:t>
      </w:r>
      <w:r w:rsidRPr="005A1E3D">
        <w:rPr>
          <w:color w:val="384575"/>
        </w:rPr>
        <w:t>bezpečnostních agentur, které</w:t>
      </w:r>
      <w:r w:rsidR="00460264" w:rsidRPr="005A1E3D">
        <w:rPr>
          <w:color w:val="384575"/>
        </w:rPr>
        <w:t xml:space="preserve"> k </w:t>
      </w:r>
      <w:r w:rsidRPr="005A1E3D">
        <w:rPr>
          <w:color w:val="384575"/>
        </w:rPr>
        <w:t>údajům přistupují, měla být směrnice jednoznačnější. Protože směrnice neposkytovala žádné záruky týkající se ukládání, správy nebo dostupnosti telekomunikačních údajů, SDEU rozhodl, že směrnice není slučitelná</w:t>
      </w:r>
      <w:r w:rsidR="00460264" w:rsidRPr="005A1E3D">
        <w:rPr>
          <w:color w:val="384575"/>
        </w:rPr>
        <w:t xml:space="preserve"> s </w:t>
      </w:r>
      <w:r w:rsidRPr="005A1E3D">
        <w:rPr>
          <w:color w:val="384575"/>
        </w:rPr>
        <w:t>Listinou.</w:t>
      </w:r>
    </w:p>
    <w:p w14:paraId="4303A4F9" w14:textId="77777777" w:rsidR="00740BB9" w:rsidRPr="00B602B4" w:rsidRDefault="00740BB9" w:rsidP="000A3B66">
      <w:pPr>
        <w:pStyle w:val="Odstavecseseznamem"/>
        <w:numPr>
          <w:ilvl w:val="0"/>
          <w:numId w:val="46"/>
        </w:numPr>
        <w:spacing w:after="120" w:line="276" w:lineRule="auto"/>
        <w:rPr>
          <w:b/>
          <w:bCs/>
          <w:color w:val="2F55A2"/>
        </w:rPr>
      </w:pPr>
      <w:r w:rsidRPr="00B602B4">
        <w:rPr>
          <w:b/>
          <w:bCs/>
          <w:color w:val="2F55A2"/>
        </w:rPr>
        <w:lastRenderedPageBreak/>
        <w:t>Lidská důstojnost, zákaz mučení</w:t>
      </w:r>
      <w:r w:rsidR="00460264" w:rsidRPr="00B602B4">
        <w:rPr>
          <w:b/>
          <w:bCs/>
          <w:color w:val="2F55A2"/>
        </w:rPr>
        <w:t xml:space="preserve"> a </w:t>
      </w:r>
      <w:r w:rsidRPr="00B602B4">
        <w:rPr>
          <w:b/>
          <w:bCs/>
          <w:color w:val="2F55A2"/>
        </w:rPr>
        <w:t xml:space="preserve">nelidského či ponižujícího zacházení nebo trestu aj. </w:t>
      </w:r>
    </w:p>
    <w:p w14:paraId="7DDCB081" w14:textId="77777777" w:rsidR="00740BB9" w:rsidRPr="005A1E3D" w:rsidRDefault="00740BB9" w:rsidP="00740BB9">
      <w:pPr>
        <w:spacing w:after="120" w:line="276" w:lineRule="auto"/>
        <w:jc w:val="both"/>
        <w:rPr>
          <w:color w:val="384575"/>
        </w:rPr>
      </w:pPr>
      <w:r w:rsidRPr="005A1E3D">
        <w:rPr>
          <w:color w:val="384575"/>
        </w:rPr>
        <w:t>Věc C-411/10</w:t>
      </w:r>
      <w:r w:rsidR="00460264" w:rsidRPr="005A1E3D">
        <w:rPr>
          <w:color w:val="384575"/>
        </w:rPr>
        <w:t xml:space="preserve"> a </w:t>
      </w:r>
      <w:r w:rsidRPr="005A1E3D">
        <w:rPr>
          <w:color w:val="384575"/>
        </w:rPr>
        <w:t xml:space="preserve">C-493/10, spojené věci </w:t>
      </w:r>
      <w:r w:rsidRPr="005A1E3D">
        <w:rPr>
          <w:i/>
          <w:iCs/>
          <w:color w:val="384575"/>
        </w:rPr>
        <w:t>N. S. proti Spojenému království</w:t>
      </w:r>
      <w:r w:rsidR="00460264" w:rsidRPr="005A1E3D">
        <w:rPr>
          <w:color w:val="384575"/>
        </w:rPr>
        <w:t xml:space="preserve"> a </w:t>
      </w:r>
      <w:r w:rsidRPr="005A1E3D">
        <w:rPr>
          <w:i/>
          <w:iCs/>
          <w:color w:val="384575"/>
        </w:rPr>
        <w:t>M. E. proti Irsku</w:t>
      </w:r>
      <w:r w:rsidRPr="005A1E3D">
        <w:rPr>
          <w:color w:val="384575"/>
        </w:rPr>
        <w:t>, se zabývala řadou práv zakotvených</w:t>
      </w:r>
      <w:r w:rsidR="00460264" w:rsidRPr="005A1E3D">
        <w:rPr>
          <w:color w:val="384575"/>
        </w:rPr>
        <w:t xml:space="preserve"> v </w:t>
      </w:r>
      <w:r w:rsidRPr="005A1E3D">
        <w:rPr>
          <w:color w:val="384575"/>
        </w:rPr>
        <w:t xml:space="preserve">Listině, neboť zahrnuje oblast práva, na </w:t>
      </w:r>
      <w:proofErr w:type="gramStart"/>
      <w:r w:rsidRPr="005A1E3D">
        <w:rPr>
          <w:color w:val="384575"/>
        </w:rPr>
        <w:t>základě</w:t>
      </w:r>
      <w:proofErr w:type="gramEnd"/>
      <w:r w:rsidRPr="005A1E3D">
        <w:rPr>
          <w:color w:val="384575"/>
        </w:rPr>
        <w:t xml:space="preserve"> které byl vytvořen systém základních práv</w:t>
      </w:r>
      <w:r w:rsidR="00460264" w:rsidRPr="005A1E3D">
        <w:rPr>
          <w:color w:val="384575"/>
        </w:rPr>
        <w:t xml:space="preserve"> v </w:t>
      </w:r>
      <w:r w:rsidRPr="005A1E3D">
        <w:rPr>
          <w:color w:val="384575"/>
        </w:rPr>
        <w:t xml:space="preserve">rámci státu: konkrétně azylové právo. </w:t>
      </w:r>
    </w:p>
    <w:p w14:paraId="166C5314" w14:textId="77777777" w:rsidR="00740BB9" w:rsidRPr="005A1E3D" w:rsidRDefault="00740BB9" w:rsidP="00740BB9">
      <w:pPr>
        <w:spacing w:after="120" w:line="276" w:lineRule="auto"/>
        <w:jc w:val="both"/>
        <w:rPr>
          <w:color w:val="384575"/>
        </w:rPr>
      </w:pPr>
      <w:r w:rsidRPr="005A1E3D">
        <w:rPr>
          <w:color w:val="384575"/>
        </w:rPr>
        <w:t>Věc se týkala nejen článků 1</w:t>
      </w:r>
      <w:r w:rsidR="00460264" w:rsidRPr="005A1E3D">
        <w:rPr>
          <w:color w:val="384575"/>
        </w:rPr>
        <w:t xml:space="preserve"> a </w:t>
      </w:r>
      <w:r w:rsidRPr="005A1E3D">
        <w:rPr>
          <w:color w:val="384575"/>
        </w:rPr>
        <w:t>4 Listiny, ale také článků 18, 19</w:t>
      </w:r>
      <w:r w:rsidR="00460264" w:rsidRPr="005A1E3D">
        <w:rPr>
          <w:color w:val="384575"/>
        </w:rPr>
        <w:t xml:space="preserve"> a </w:t>
      </w:r>
      <w:r w:rsidRPr="005A1E3D">
        <w:rPr>
          <w:color w:val="384575"/>
        </w:rPr>
        <w:t>47.</w:t>
      </w:r>
      <w:r w:rsidR="00460264" w:rsidRPr="005A1E3D">
        <w:rPr>
          <w:color w:val="384575"/>
        </w:rPr>
        <w:t xml:space="preserve"> V </w:t>
      </w:r>
      <w:r w:rsidRPr="005A1E3D">
        <w:rPr>
          <w:color w:val="384575"/>
        </w:rPr>
        <w:t>tomto případě se původní řízení týkalo sporu několika státních příslušníků jiných zemí, kteří předtím projížděli Řeckem</w:t>
      </w:r>
      <w:r w:rsidR="00460264" w:rsidRPr="005A1E3D">
        <w:rPr>
          <w:color w:val="384575"/>
        </w:rPr>
        <w:t xml:space="preserve"> a </w:t>
      </w:r>
      <w:r w:rsidRPr="005A1E3D">
        <w:rPr>
          <w:color w:val="384575"/>
        </w:rPr>
        <w:t>žádali</w:t>
      </w:r>
      <w:r w:rsidR="00460264" w:rsidRPr="005A1E3D">
        <w:rPr>
          <w:color w:val="384575"/>
        </w:rPr>
        <w:t xml:space="preserve"> o </w:t>
      </w:r>
      <w:r w:rsidRPr="005A1E3D">
        <w:rPr>
          <w:color w:val="384575"/>
        </w:rPr>
        <w:t>azyl ve Spojeném království nebo Irsku. Protestovali proti tomu, že byli posláni do Řecka, členského státu EU, který je obvykle pověřen posuzováním jejich žádostí</w:t>
      </w:r>
      <w:r w:rsidR="00460264" w:rsidRPr="005A1E3D">
        <w:rPr>
          <w:color w:val="384575"/>
        </w:rPr>
        <w:t xml:space="preserve"> o </w:t>
      </w:r>
      <w:r w:rsidRPr="005A1E3D">
        <w:rPr>
          <w:color w:val="384575"/>
        </w:rPr>
        <w:t xml:space="preserve">azyl podle nařízení </w:t>
      </w:r>
      <w:r w:rsidR="00460264" w:rsidRPr="005A1E3D">
        <w:rPr>
          <w:color w:val="384575"/>
        </w:rPr>
        <w:t>č. </w:t>
      </w:r>
      <w:r w:rsidRPr="005A1E3D">
        <w:rPr>
          <w:color w:val="384575"/>
        </w:rPr>
        <w:t>343/200312 (známého také jako „nařízení Dublin II“). Tvrdili, že řízení</w:t>
      </w:r>
      <w:r w:rsidR="00460264" w:rsidRPr="005A1E3D">
        <w:rPr>
          <w:color w:val="384575"/>
        </w:rPr>
        <w:t xml:space="preserve"> a </w:t>
      </w:r>
      <w:r w:rsidRPr="005A1E3D">
        <w:rPr>
          <w:color w:val="384575"/>
        </w:rPr>
        <w:t>podmínky pro žadatele</w:t>
      </w:r>
      <w:r w:rsidR="00460264" w:rsidRPr="005A1E3D">
        <w:rPr>
          <w:color w:val="384575"/>
        </w:rPr>
        <w:t xml:space="preserve"> o </w:t>
      </w:r>
      <w:r w:rsidRPr="005A1E3D">
        <w:rPr>
          <w:color w:val="384575"/>
        </w:rPr>
        <w:t>azyl</w:t>
      </w:r>
      <w:r w:rsidR="00460264" w:rsidRPr="005A1E3D">
        <w:rPr>
          <w:color w:val="384575"/>
        </w:rPr>
        <w:t xml:space="preserve"> v </w:t>
      </w:r>
      <w:r w:rsidRPr="005A1E3D">
        <w:rPr>
          <w:color w:val="384575"/>
        </w:rPr>
        <w:t>Řecku jsou nedostatečné nebo že takové předání by porušilo jejich základní práva</w:t>
      </w:r>
      <w:r w:rsidR="00460264" w:rsidRPr="005A1E3D">
        <w:rPr>
          <w:color w:val="384575"/>
        </w:rPr>
        <w:t xml:space="preserve"> a </w:t>
      </w:r>
      <w:r w:rsidRPr="005A1E3D">
        <w:rPr>
          <w:color w:val="384575"/>
        </w:rPr>
        <w:t>že členský stát, na jehož území se</w:t>
      </w:r>
      <w:r w:rsidR="00460264" w:rsidRPr="005A1E3D">
        <w:rPr>
          <w:color w:val="384575"/>
        </w:rPr>
        <w:t xml:space="preserve"> v </w:t>
      </w:r>
      <w:r w:rsidRPr="005A1E3D">
        <w:rPr>
          <w:color w:val="384575"/>
        </w:rPr>
        <w:t xml:space="preserve">té době nacházeli, byl povinen uplatnit svou pravomoc podle </w:t>
      </w:r>
      <w:r w:rsidR="00460264" w:rsidRPr="005A1E3D">
        <w:rPr>
          <w:color w:val="384575"/>
        </w:rPr>
        <w:t>čl. </w:t>
      </w:r>
      <w:r w:rsidRPr="005A1E3D">
        <w:rPr>
          <w:color w:val="384575"/>
        </w:rPr>
        <w:t>3 odst. 2 nařízení Dublin II</w:t>
      </w:r>
      <w:r w:rsidR="00460264" w:rsidRPr="005A1E3D">
        <w:rPr>
          <w:color w:val="384575"/>
        </w:rPr>
        <w:t xml:space="preserve"> a </w:t>
      </w:r>
      <w:r w:rsidRPr="005A1E3D">
        <w:rPr>
          <w:color w:val="384575"/>
        </w:rPr>
        <w:t>převzít odpovědnost za přezkoumání</w:t>
      </w:r>
      <w:r w:rsidR="00460264" w:rsidRPr="005A1E3D">
        <w:rPr>
          <w:color w:val="384575"/>
        </w:rPr>
        <w:t xml:space="preserve"> a </w:t>
      </w:r>
      <w:r w:rsidRPr="005A1E3D">
        <w:rPr>
          <w:color w:val="384575"/>
        </w:rPr>
        <w:t>rozhodnutí</w:t>
      </w:r>
      <w:r w:rsidR="00460264" w:rsidRPr="005A1E3D">
        <w:rPr>
          <w:color w:val="384575"/>
        </w:rPr>
        <w:t xml:space="preserve"> o </w:t>
      </w:r>
      <w:r w:rsidRPr="005A1E3D">
        <w:rPr>
          <w:color w:val="384575"/>
        </w:rPr>
        <w:t>jejich žádostech</w:t>
      </w:r>
      <w:r w:rsidR="00460264" w:rsidRPr="005A1E3D">
        <w:rPr>
          <w:color w:val="384575"/>
        </w:rPr>
        <w:t xml:space="preserve"> o </w:t>
      </w:r>
      <w:r w:rsidRPr="005A1E3D">
        <w:rPr>
          <w:color w:val="384575"/>
        </w:rPr>
        <w:t xml:space="preserve">azyl. </w:t>
      </w:r>
    </w:p>
    <w:p w14:paraId="54BBF6D0" w14:textId="77777777" w:rsidR="00740BB9" w:rsidRPr="005A1E3D" w:rsidRDefault="00740BB9" w:rsidP="00740BB9">
      <w:pPr>
        <w:spacing w:after="120" w:line="276" w:lineRule="auto"/>
        <w:jc w:val="both"/>
        <w:rPr>
          <w:color w:val="384575"/>
        </w:rPr>
      </w:pPr>
      <w:r w:rsidRPr="005A1E3D">
        <w:rPr>
          <w:color w:val="384575"/>
        </w:rPr>
        <w:t>Tato věc vyvolala zejména dvě obavy ohledně rozsahu působnosti Listiny. Soudní dvůr měl proto nejprve rozhodnout, zda pro účely článku 6 SFEU a/nebo článku 51 Listiny spadá rozhodnutí členského státu</w:t>
      </w:r>
      <w:r w:rsidR="00460264" w:rsidRPr="005A1E3D">
        <w:rPr>
          <w:color w:val="384575"/>
        </w:rPr>
        <w:t xml:space="preserve"> o </w:t>
      </w:r>
      <w:r w:rsidRPr="005A1E3D">
        <w:rPr>
          <w:color w:val="384575"/>
        </w:rPr>
        <w:t>posouzení nebo zamítnutí žádosti</w:t>
      </w:r>
      <w:r w:rsidR="00460264" w:rsidRPr="005A1E3D">
        <w:rPr>
          <w:color w:val="384575"/>
        </w:rPr>
        <w:t xml:space="preserve"> o </w:t>
      </w:r>
      <w:r w:rsidRPr="005A1E3D">
        <w:rPr>
          <w:color w:val="384575"/>
        </w:rPr>
        <w:t>azyl,</w:t>
      </w:r>
      <w:r w:rsidR="00460264" w:rsidRPr="005A1E3D">
        <w:rPr>
          <w:color w:val="384575"/>
        </w:rPr>
        <w:t xml:space="preserve"> k </w:t>
      </w:r>
      <w:r w:rsidRPr="005A1E3D">
        <w:rPr>
          <w:color w:val="384575"/>
        </w:rPr>
        <w:t>němuž není příslušný podle pokynů uvedených</w:t>
      </w:r>
      <w:r w:rsidR="00460264" w:rsidRPr="005A1E3D">
        <w:rPr>
          <w:color w:val="384575"/>
        </w:rPr>
        <w:t xml:space="preserve"> v </w:t>
      </w:r>
      <w:r w:rsidRPr="005A1E3D">
        <w:rPr>
          <w:color w:val="384575"/>
        </w:rPr>
        <w:t>kapitole III nařízení Dublin II, do působnosti unijního práva. Toto rozhodnutí bylo přijato</w:t>
      </w:r>
      <w:r w:rsidR="00460264" w:rsidRPr="005A1E3D">
        <w:rPr>
          <w:color w:val="384575"/>
        </w:rPr>
        <w:t xml:space="preserve"> v </w:t>
      </w:r>
      <w:r w:rsidRPr="005A1E3D">
        <w:rPr>
          <w:color w:val="384575"/>
        </w:rPr>
        <w:t>souladu</w:t>
      </w:r>
      <w:r w:rsidR="00460264" w:rsidRPr="005A1E3D">
        <w:rPr>
          <w:color w:val="384575"/>
        </w:rPr>
        <w:t xml:space="preserve"> s čl. </w:t>
      </w:r>
      <w:r w:rsidRPr="005A1E3D">
        <w:rPr>
          <w:color w:val="384575"/>
        </w:rPr>
        <w:t>3 odst. 2 nařízení.</w:t>
      </w:r>
      <w:r w:rsidR="00460264" w:rsidRPr="005A1E3D">
        <w:rPr>
          <w:color w:val="384575"/>
        </w:rPr>
        <w:t xml:space="preserve"> V </w:t>
      </w:r>
      <w:r w:rsidRPr="005A1E3D">
        <w:rPr>
          <w:color w:val="384575"/>
        </w:rPr>
        <w:t xml:space="preserve">této souvislosti Soudní dvůr uvedl, že </w:t>
      </w:r>
      <w:r w:rsidR="00460264" w:rsidRPr="005A1E3D">
        <w:rPr>
          <w:color w:val="384575"/>
        </w:rPr>
        <w:t>čl. </w:t>
      </w:r>
      <w:r w:rsidRPr="005A1E3D">
        <w:rPr>
          <w:color w:val="384575"/>
        </w:rPr>
        <w:t>3 odst. 2 nařízení Dublin II dává členským státům posuzovací pravomoc, která je pro společný evropský azylový systém stanovený SFEU zásadní.  Tato posuzovací pravomoc musí být využívána</w:t>
      </w:r>
      <w:r w:rsidR="00460264" w:rsidRPr="005A1E3D">
        <w:rPr>
          <w:color w:val="384575"/>
        </w:rPr>
        <w:t xml:space="preserve"> v </w:t>
      </w:r>
      <w:r w:rsidRPr="005A1E3D">
        <w:rPr>
          <w:color w:val="384575"/>
        </w:rPr>
        <w:t>souladu</w:t>
      </w:r>
      <w:r w:rsidR="00460264" w:rsidRPr="005A1E3D">
        <w:rPr>
          <w:color w:val="384575"/>
        </w:rPr>
        <w:t xml:space="preserve"> s </w:t>
      </w:r>
      <w:r w:rsidRPr="005A1E3D">
        <w:rPr>
          <w:color w:val="384575"/>
        </w:rPr>
        <w:t>ostatními ustanoveními tohoto řízení. Kromě toho členský stát přebírá odpovědnost za žádost</w:t>
      </w:r>
      <w:r w:rsidR="00460264" w:rsidRPr="005A1E3D">
        <w:rPr>
          <w:color w:val="384575"/>
        </w:rPr>
        <w:t xml:space="preserve"> o </w:t>
      </w:r>
      <w:r w:rsidRPr="005A1E3D">
        <w:rPr>
          <w:color w:val="384575"/>
        </w:rPr>
        <w:t>azyl</w:t>
      </w:r>
      <w:r w:rsidR="00460264" w:rsidRPr="005A1E3D">
        <w:rPr>
          <w:color w:val="384575"/>
        </w:rPr>
        <w:t xml:space="preserve"> v </w:t>
      </w:r>
      <w:r w:rsidRPr="005A1E3D">
        <w:rPr>
          <w:color w:val="384575"/>
        </w:rPr>
        <w:t>souladu</w:t>
      </w:r>
      <w:r w:rsidR="00460264" w:rsidRPr="005A1E3D">
        <w:rPr>
          <w:color w:val="384575"/>
        </w:rPr>
        <w:t xml:space="preserve"> s </w:t>
      </w:r>
      <w:r w:rsidRPr="005A1E3D">
        <w:rPr>
          <w:color w:val="384575"/>
        </w:rPr>
        <w:t xml:space="preserve">nařízením Dublin II, pokud se rozhodne ji sám přezkoumat. </w:t>
      </w:r>
      <w:r w:rsidR="00460264" w:rsidRPr="005A1E3D">
        <w:rPr>
          <w:color w:val="384575"/>
        </w:rPr>
        <w:t xml:space="preserve"> V </w:t>
      </w:r>
      <w:r w:rsidRPr="005A1E3D">
        <w:rPr>
          <w:color w:val="384575"/>
        </w:rPr>
        <w:t>případě potřeby</w:t>
      </w:r>
      <w:r w:rsidR="00460264" w:rsidRPr="005A1E3D">
        <w:rPr>
          <w:color w:val="384575"/>
        </w:rPr>
        <w:t xml:space="preserve"> o </w:t>
      </w:r>
      <w:r w:rsidRPr="005A1E3D">
        <w:rPr>
          <w:color w:val="384575"/>
        </w:rPr>
        <w:t>tom informuje jiný členský stát nebo členské státy, kterých se žádost</w:t>
      </w:r>
      <w:r w:rsidR="00460264" w:rsidRPr="005A1E3D">
        <w:rPr>
          <w:color w:val="384575"/>
        </w:rPr>
        <w:t xml:space="preserve"> o </w:t>
      </w:r>
      <w:r w:rsidRPr="005A1E3D">
        <w:rPr>
          <w:color w:val="384575"/>
        </w:rPr>
        <w:t>azyl týká.</w:t>
      </w:r>
      <w:r w:rsidR="00460264" w:rsidRPr="005A1E3D">
        <w:rPr>
          <w:color w:val="384575"/>
        </w:rPr>
        <w:t xml:space="preserve"> V </w:t>
      </w:r>
      <w:r w:rsidRPr="005A1E3D">
        <w:rPr>
          <w:color w:val="384575"/>
        </w:rPr>
        <w:t xml:space="preserve">důsledku toho se Soudní dvůr domnívá, že členský stát, který využije posuzovací pravomoci přiznané </w:t>
      </w:r>
      <w:r w:rsidR="00460264" w:rsidRPr="005A1E3D">
        <w:rPr>
          <w:color w:val="384575"/>
        </w:rPr>
        <w:t>čl. </w:t>
      </w:r>
      <w:r w:rsidRPr="005A1E3D">
        <w:rPr>
          <w:color w:val="384575"/>
        </w:rPr>
        <w:t xml:space="preserve">3 odst. 2 nařízení Dublin II, musí být považován za členský stát, který provádí unijní právo pro účely </w:t>
      </w:r>
      <w:r w:rsidR="00460264" w:rsidRPr="005A1E3D">
        <w:rPr>
          <w:color w:val="384575"/>
        </w:rPr>
        <w:t>čl. </w:t>
      </w:r>
      <w:r w:rsidRPr="005A1E3D">
        <w:rPr>
          <w:color w:val="384575"/>
        </w:rPr>
        <w:t>51 odst. 1 Listiny (body 55, 65 až 69</w:t>
      </w:r>
      <w:r w:rsidR="00460264" w:rsidRPr="005A1E3D">
        <w:rPr>
          <w:color w:val="384575"/>
        </w:rPr>
        <w:t xml:space="preserve"> a </w:t>
      </w:r>
      <w:r w:rsidRPr="005A1E3D">
        <w:rPr>
          <w:color w:val="384575"/>
        </w:rPr>
        <w:t xml:space="preserve">první odstavec výrokové části). Následně vyvstala otázka, zda přezkum Protokolu </w:t>
      </w:r>
      <w:r w:rsidR="00460264" w:rsidRPr="005A1E3D">
        <w:rPr>
          <w:color w:val="384575"/>
        </w:rPr>
        <w:t>č. </w:t>
      </w:r>
      <w:r w:rsidRPr="005A1E3D">
        <w:rPr>
          <w:color w:val="384575"/>
        </w:rPr>
        <w:t>30</w:t>
      </w:r>
      <w:r w:rsidR="00460264" w:rsidRPr="005A1E3D">
        <w:rPr>
          <w:color w:val="384575"/>
        </w:rPr>
        <w:t xml:space="preserve"> o </w:t>
      </w:r>
      <w:r w:rsidRPr="005A1E3D">
        <w:rPr>
          <w:color w:val="384575"/>
        </w:rPr>
        <w:t>uplatňování Listiny základních práv Evropské unie ve vztahu</w:t>
      </w:r>
      <w:r w:rsidR="00460264" w:rsidRPr="005A1E3D">
        <w:rPr>
          <w:color w:val="384575"/>
        </w:rPr>
        <w:t xml:space="preserve"> k </w:t>
      </w:r>
      <w:r w:rsidRPr="005A1E3D">
        <w:rPr>
          <w:color w:val="384575"/>
        </w:rPr>
        <w:t>Polské republice</w:t>
      </w:r>
      <w:r w:rsidR="00460264" w:rsidRPr="005A1E3D">
        <w:rPr>
          <w:color w:val="384575"/>
        </w:rPr>
        <w:t xml:space="preserve"> a </w:t>
      </w:r>
      <w:r w:rsidRPr="005A1E3D">
        <w:rPr>
          <w:color w:val="384575"/>
        </w:rPr>
        <w:t>Spojenému království nějak ovlivnil poskytnuté odpovědi, neboť některé</w:t>
      </w:r>
      <w:r w:rsidR="00460264" w:rsidRPr="005A1E3D">
        <w:rPr>
          <w:color w:val="384575"/>
        </w:rPr>
        <w:t xml:space="preserve"> z </w:t>
      </w:r>
      <w:r w:rsidRPr="005A1E3D">
        <w:rPr>
          <w:color w:val="384575"/>
        </w:rPr>
        <w:t>předložených otázek se týkaly povinností Spojeného království, pokud jde</w:t>
      </w:r>
      <w:r w:rsidR="00460264" w:rsidRPr="005A1E3D">
        <w:rPr>
          <w:color w:val="384575"/>
        </w:rPr>
        <w:t xml:space="preserve"> o </w:t>
      </w:r>
      <w:r w:rsidRPr="005A1E3D">
        <w:rPr>
          <w:color w:val="384575"/>
        </w:rPr>
        <w:t>ochranu poskytovanou osobě, na kterou se vztahuje nařízení Dublin II. Soudní dvůr</w:t>
      </w:r>
      <w:r w:rsidR="00460264" w:rsidRPr="005A1E3D">
        <w:rPr>
          <w:color w:val="384575"/>
        </w:rPr>
        <w:t xml:space="preserve"> v </w:t>
      </w:r>
      <w:r w:rsidRPr="005A1E3D">
        <w:rPr>
          <w:color w:val="384575"/>
        </w:rPr>
        <w:t xml:space="preserve">odpovědi uvedl, že nikoli. </w:t>
      </w:r>
    </w:p>
    <w:p w14:paraId="49F86D84" w14:textId="77777777" w:rsidR="00740BB9" w:rsidRPr="005A1E3D" w:rsidRDefault="00740BB9" w:rsidP="00740BB9">
      <w:pPr>
        <w:spacing w:after="120" w:line="276" w:lineRule="auto"/>
        <w:jc w:val="both"/>
        <w:rPr>
          <w:color w:val="384575"/>
        </w:rPr>
      </w:pPr>
      <w:r w:rsidRPr="005A1E3D">
        <w:rPr>
          <w:color w:val="384575"/>
        </w:rPr>
        <w:t>Aby dosáhl tohoto výsledku, zdůraznil, že třetí</w:t>
      </w:r>
      <w:r w:rsidR="00460264" w:rsidRPr="005A1E3D">
        <w:rPr>
          <w:color w:val="384575"/>
        </w:rPr>
        <w:t xml:space="preserve"> a </w:t>
      </w:r>
      <w:r w:rsidRPr="005A1E3D">
        <w:rPr>
          <w:color w:val="384575"/>
        </w:rPr>
        <w:t>šestý bod odůvodnění uvedeného protokolu potvrzují, že uplatňování Listiny</w:t>
      </w:r>
      <w:r w:rsidR="00460264" w:rsidRPr="005A1E3D">
        <w:rPr>
          <w:color w:val="384575"/>
        </w:rPr>
        <w:t xml:space="preserve"> v </w:t>
      </w:r>
      <w:r w:rsidRPr="005A1E3D">
        <w:rPr>
          <w:color w:val="384575"/>
        </w:rPr>
        <w:t>Polsku</w:t>
      </w:r>
      <w:r w:rsidR="00460264" w:rsidRPr="005A1E3D">
        <w:rPr>
          <w:color w:val="384575"/>
        </w:rPr>
        <w:t xml:space="preserve"> a </w:t>
      </w:r>
      <w:r w:rsidRPr="005A1E3D">
        <w:rPr>
          <w:color w:val="384575"/>
        </w:rPr>
        <w:t>ve Spojeném království je nepochybně zachováno, jak je uvedeno</w:t>
      </w:r>
      <w:r w:rsidR="00460264" w:rsidRPr="005A1E3D">
        <w:rPr>
          <w:color w:val="384575"/>
        </w:rPr>
        <w:t xml:space="preserve"> v </w:t>
      </w:r>
      <w:r w:rsidRPr="005A1E3D">
        <w:rPr>
          <w:color w:val="384575"/>
        </w:rPr>
        <w:t>článku 1 protokolu.</w:t>
      </w:r>
      <w:r w:rsidR="00460264" w:rsidRPr="005A1E3D">
        <w:rPr>
          <w:color w:val="384575"/>
        </w:rPr>
        <w:t xml:space="preserve"> V </w:t>
      </w:r>
      <w:r w:rsidRPr="005A1E3D">
        <w:rPr>
          <w:color w:val="384575"/>
        </w:rPr>
        <w:t xml:space="preserve">takových případech Soudní dvůr rozhodl, že </w:t>
      </w:r>
      <w:r w:rsidR="00460264" w:rsidRPr="005A1E3D">
        <w:rPr>
          <w:color w:val="384575"/>
        </w:rPr>
        <w:t>čl. </w:t>
      </w:r>
      <w:r w:rsidRPr="005A1E3D">
        <w:rPr>
          <w:color w:val="384575"/>
        </w:rPr>
        <w:t xml:space="preserve">1 odst. 1 protokolu </w:t>
      </w:r>
      <w:r w:rsidR="00460264" w:rsidRPr="005A1E3D">
        <w:rPr>
          <w:color w:val="384575"/>
        </w:rPr>
        <w:t>č. </w:t>
      </w:r>
      <w:r w:rsidRPr="005A1E3D">
        <w:rPr>
          <w:color w:val="384575"/>
        </w:rPr>
        <w:t>30 upřesňuje rozsah působnosti článku 51 Listiny</w:t>
      </w:r>
      <w:r w:rsidR="00460264" w:rsidRPr="005A1E3D">
        <w:rPr>
          <w:color w:val="384575"/>
        </w:rPr>
        <w:t xml:space="preserve"> a </w:t>
      </w:r>
      <w:r w:rsidRPr="005A1E3D">
        <w:rPr>
          <w:color w:val="384575"/>
        </w:rPr>
        <w:t xml:space="preserve">nemá za cíl zprostit Polskou republiku nebo Spojené království povinnosti </w:t>
      </w:r>
      <w:r w:rsidRPr="005A1E3D">
        <w:rPr>
          <w:color w:val="384575"/>
        </w:rPr>
        <w:lastRenderedPageBreak/>
        <w:t>dodržovat jeho ustanovení, ani zakázat soudu jednoho</w:t>
      </w:r>
      <w:r w:rsidR="00460264" w:rsidRPr="005A1E3D">
        <w:rPr>
          <w:color w:val="384575"/>
        </w:rPr>
        <w:t xml:space="preserve"> z </w:t>
      </w:r>
      <w:r w:rsidRPr="005A1E3D">
        <w:rPr>
          <w:color w:val="384575"/>
        </w:rPr>
        <w:t>těchto členských států vymáhat dodržování těchto ustanovení (body 116, 119, 120, 122</w:t>
      </w:r>
      <w:r w:rsidR="00460264" w:rsidRPr="005A1E3D">
        <w:rPr>
          <w:color w:val="384575"/>
        </w:rPr>
        <w:t xml:space="preserve"> a </w:t>
      </w:r>
      <w:r w:rsidRPr="005A1E3D">
        <w:rPr>
          <w:color w:val="384575"/>
        </w:rPr>
        <w:t xml:space="preserve">bod 4 výroku). </w:t>
      </w:r>
    </w:p>
    <w:p w14:paraId="5A8E46A1" w14:textId="77777777" w:rsidR="00740BB9" w:rsidRPr="005A1E3D" w:rsidRDefault="00740BB9" w:rsidP="00740BB9">
      <w:pPr>
        <w:spacing w:after="120" w:line="276" w:lineRule="auto"/>
        <w:jc w:val="both"/>
        <w:rPr>
          <w:color w:val="384575"/>
        </w:rPr>
      </w:pPr>
      <w:r w:rsidRPr="005A1E3D">
        <w:rPr>
          <w:color w:val="384575"/>
        </w:rPr>
        <w:t>V důsledku toho Soudní dvůr rozhodl, že článek 4 Listiny základních práv Evropské unie je třeba vykládat tak, že vnitrostátní soudy</w:t>
      </w:r>
      <w:r w:rsidR="00460264" w:rsidRPr="005A1E3D">
        <w:rPr>
          <w:color w:val="384575"/>
        </w:rPr>
        <w:t xml:space="preserve"> a </w:t>
      </w:r>
      <w:r w:rsidRPr="005A1E3D">
        <w:rPr>
          <w:color w:val="384575"/>
        </w:rPr>
        <w:t>členské státy nesmějí posílat žadatele</w:t>
      </w:r>
      <w:r w:rsidR="00460264" w:rsidRPr="005A1E3D">
        <w:rPr>
          <w:color w:val="384575"/>
        </w:rPr>
        <w:t xml:space="preserve"> o </w:t>
      </w:r>
      <w:r w:rsidRPr="005A1E3D">
        <w:rPr>
          <w:color w:val="384575"/>
        </w:rPr>
        <w:t xml:space="preserve">azyl do členského státu, který je za ně odpovědný. </w:t>
      </w:r>
    </w:p>
    <w:p w14:paraId="1F387AFD" w14:textId="77777777" w:rsidR="00740BB9" w:rsidRPr="00B602B4" w:rsidRDefault="007E150B" w:rsidP="00740BB9">
      <w:pPr>
        <w:spacing w:after="120" w:line="276" w:lineRule="auto"/>
        <w:jc w:val="both"/>
        <w:rPr>
          <w:b/>
          <w:bCs/>
          <w:i/>
          <w:color w:val="2F55A2"/>
        </w:rPr>
      </w:pPr>
      <w:r w:rsidRPr="00B602B4">
        <w:rPr>
          <w:b/>
          <w:bCs/>
          <w:i/>
          <w:color w:val="2F55A2"/>
        </w:rPr>
        <w:t>B. Úvaha</w:t>
      </w:r>
      <w:r w:rsidR="00460264" w:rsidRPr="00B602B4">
        <w:rPr>
          <w:b/>
          <w:bCs/>
          <w:i/>
          <w:color w:val="2F55A2"/>
        </w:rPr>
        <w:t xml:space="preserve"> o </w:t>
      </w:r>
      <w:r w:rsidRPr="00B602B4">
        <w:rPr>
          <w:b/>
          <w:bCs/>
          <w:i/>
          <w:color w:val="2F55A2"/>
        </w:rPr>
        <w:t>dopadu Listiny na judikaturu</w:t>
      </w:r>
      <w:r w:rsidR="00460264" w:rsidRPr="00B602B4">
        <w:rPr>
          <w:b/>
          <w:bCs/>
          <w:i/>
          <w:color w:val="2F55A2"/>
        </w:rPr>
        <w:t xml:space="preserve"> v </w:t>
      </w:r>
      <w:r w:rsidRPr="00B602B4">
        <w:rPr>
          <w:b/>
          <w:bCs/>
          <w:i/>
          <w:color w:val="2F55A2"/>
        </w:rPr>
        <w:t>oblasti lidských práv</w:t>
      </w:r>
      <w:r w:rsidR="00460264" w:rsidRPr="00B602B4">
        <w:rPr>
          <w:b/>
          <w:bCs/>
          <w:i/>
          <w:color w:val="2F55A2"/>
        </w:rPr>
        <w:t xml:space="preserve"> v </w:t>
      </w:r>
      <w:r w:rsidRPr="00B602B4">
        <w:rPr>
          <w:b/>
          <w:bCs/>
          <w:i/>
          <w:color w:val="2F55A2"/>
        </w:rPr>
        <w:t>Irsku.</w:t>
      </w:r>
    </w:p>
    <w:p w14:paraId="54D2EFFC" w14:textId="77777777" w:rsidR="00740BB9" w:rsidRPr="005A1E3D" w:rsidRDefault="00740BB9" w:rsidP="00740BB9">
      <w:pPr>
        <w:spacing w:after="120" w:line="276" w:lineRule="auto"/>
        <w:jc w:val="both"/>
        <w:rPr>
          <w:color w:val="384575"/>
        </w:rPr>
      </w:pPr>
      <w:r w:rsidRPr="005A1E3D">
        <w:rPr>
          <w:color w:val="384575"/>
        </w:rPr>
        <w:t>V rámci tohoto oddílu je třeba se podrobněji zamyslet nad tím, jak interakce se Soudním dvorem</w:t>
      </w:r>
      <w:r w:rsidR="00460264" w:rsidRPr="005A1E3D">
        <w:rPr>
          <w:color w:val="384575"/>
        </w:rPr>
        <w:t xml:space="preserve"> a </w:t>
      </w:r>
      <w:r w:rsidRPr="005A1E3D">
        <w:rPr>
          <w:color w:val="384575"/>
        </w:rPr>
        <w:t>Listinou ovlivnila judikaturu</w:t>
      </w:r>
      <w:r w:rsidR="00460264" w:rsidRPr="005A1E3D">
        <w:rPr>
          <w:color w:val="384575"/>
        </w:rPr>
        <w:t xml:space="preserve"> v </w:t>
      </w:r>
      <w:r w:rsidRPr="005A1E3D">
        <w:rPr>
          <w:color w:val="384575"/>
        </w:rPr>
        <w:t>oblasti lidských práv</w:t>
      </w:r>
      <w:r w:rsidR="00460264" w:rsidRPr="005A1E3D">
        <w:rPr>
          <w:color w:val="384575"/>
        </w:rPr>
        <w:t xml:space="preserve"> v </w:t>
      </w:r>
      <w:r w:rsidRPr="005A1E3D">
        <w:rPr>
          <w:color w:val="384575"/>
        </w:rPr>
        <w:t>Irsku.  Zejména</w:t>
      </w:r>
      <w:r w:rsidR="00460264" w:rsidRPr="005A1E3D">
        <w:rPr>
          <w:color w:val="384575"/>
        </w:rPr>
        <w:t xml:space="preserve"> v </w:t>
      </w:r>
      <w:r w:rsidRPr="005A1E3D">
        <w:rPr>
          <w:color w:val="384575"/>
        </w:rPr>
        <w:t>oblasti azylového práva, které sice začína</w:t>
      </w:r>
      <w:r w:rsidR="009A148F" w:rsidRPr="005A1E3D">
        <w:rPr>
          <w:color w:val="384575"/>
        </w:rPr>
        <w:t xml:space="preserve">lo jako oblast vnitrostátního </w:t>
      </w:r>
      <w:r w:rsidRPr="005A1E3D">
        <w:rPr>
          <w:color w:val="384575"/>
        </w:rPr>
        <w:t>nebo mezinárodního práva, ale</w:t>
      </w:r>
      <w:r w:rsidR="00460264" w:rsidRPr="005A1E3D">
        <w:rPr>
          <w:color w:val="384575"/>
        </w:rPr>
        <w:t xml:space="preserve"> s </w:t>
      </w:r>
      <w:r w:rsidRPr="005A1E3D">
        <w:rPr>
          <w:color w:val="384575"/>
        </w:rPr>
        <w:t>tím, jak se unijní právní předpisy</w:t>
      </w:r>
      <w:r w:rsidR="00460264" w:rsidRPr="005A1E3D">
        <w:rPr>
          <w:color w:val="384575"/>
        </w:rPr>
        <w:t xml:space="preserve"> v </w:t>
      </w:r>
      <w:r w:rsidRPr="005A1E3D">
        <w:rPr>
          <w:color w:val="384575"/>
        </w:rPr>
        <w:t>oblasti spravedlnosti</w:t>
      </w:r>
      <w:r w:rsidR="00460264" w:rsidRPr="005A1E3D">
        <w:rPr>
          <w:color w:val="384575"/>
        </w:rPr>
        <w:t xml:space="preserve"> a </w:t>
      </w:r>
      <w:r w:rsidRPr="005A1E3D">
        <w:rPr>
          <w:color w:val="384575"/>
        </w:rPr>
        <w:t>vnitřních věcí postupem času rozrůstaly, se dramaticky rozrostly</w:t>
      </w:r>
      <w:r w:rsidR="00460264" w:rsidRPr="005A1E3D">
        <w:rPr>
          <w:color w:val="384575"/>
        </w:rPr>
        <w:t xml:space="preserve"> i </w:t>
      </w:r>
      <w:r w:rsidRPr="005A1E3D">
        <w:rPr>
          <w:color w:val="384575"/>
        </w:rPr>
        <w:t>právní předpisy týkající se této oblasti.</w:t>
      </w:r>
      <w:r w:rsidRPr="005A1E3D">
        <w:rPr>
          <w:rStyle w:val="Znakapoznpodarou"/>
          <w:color w:val="384575"/>
          <w:lang w:val="en-GB"/>
        </w:rPr>
        <w:footnoteReference w:id="3"/>
      </w:r>
    </w:p>
    <w:p w14:paraId="3B4D799A" w14:textId="77777777" w:rsidR="00740BB9" w:rsidRPr="005A1E3D" w:rsidRDefault="00740BB9" w:rsidP="00740BB9">
      <w:pPr>
        <w:spacing w:after="120" w:line="276" w:lineRule="auto"/>
        <w:jc w:val="both"/>
        <w:rPr>
          <w:color w:val="384575"/>
          <w:u w:val="single"/>
        </w:rPr>
      </w:pPr>
      <w:r w:rsidRPr="005A1E3D">
        <w:rPr>
          <w:color w:val="384575"/>
        </w:rPr>
        <w:t>Z tohoto důvodu irské soudy věnovaly oblasti působnosti Listiny zvláštní pozornost</w:t>
      </w:r>
      <w:r w:rsidR="00460264" w:rsidRPr="005A1E3D">
        <w:rPr>
          <w:color w:val="384575"/>
        </w:rPr>
        <w:t xml:space="preserve"> v </w:t>
      </w:r>
      <w:r w:rsidRPr="005A1E3D">
        <w:rPr>
          <w:color w:val="384575"/>
        </w:rPr>
        <w:t>případech týkajících se přistěhovalectví</w:t>
      </w:r>
      <w:r w:rsidR="00460264" w:rsidRPr="005A1E3D">
        <w:rPr>
          <w:color w:val="384575"/>
        </w:rPr>
        <w:t xml:space="preserve"> a </w:t>
      </w:r>
      <w:r w:rsidRPr="005A1E3D">
        <w:rPr>
          <w:color w:val="384575"/>
        </w:rPr>
        <w:t>azylu. Četná rozhodnutí zdůraznila, že některé pravomoci jsou trvalými svrchovanými pravomocemi státu, jako je například oprávnění</w:t>
      </w:r>
      <w:r w:rsidR="00460264" w:rsidRPr="005A1E3D">
        <w:rPr>
          <w:color w:val="384575"/>
        </w:rPr>
        <w:t xml:space="preserve"> k </w:t>
      </w:r>
      <w:r w:rsidRPr="005A1E3D">
        <w:rPr>
          <w:color w:val="384575"/>
        </w:rPr>
        <w:t>vyhoštění (což znamená, že některá ustanovení Listiny, jako je právo na respektování soukromého</w:t>
      </w:r>
      <w:r w:rsidR="00460264" w:rsidRPr="005A1E3D">
        <w:rPr>
          <w:color w:val="384575"/>
        </w:rPr>
        <w:t xml:space="preserve"> a </w:t>
      </w:r>
      <w:r w:rsidRPr="005A1E3D">
        <w:rPr>
          <w:color w:val="384575"/>
        </w:rPr>
        <w:t>rodinného života podle článku 7, se nepoužijí).</w:t>
      </w:r>
      <w:r w:rsidR="00460264" w:rsidRPr="005A1E3D">
        <w:rPr>
          <w:color w:val="384575"/>
        </w:rPr>
        <w:t xml:space="preserve"> V </w:t>
      </w:r>
      <w:r w:rsidRPr="005A1E3D">
        <w:rPr>
          <w:color w:val="384575"/>
        </w:rPr>
        <w:t>poměrně nedávné věci Vrchní soud rozhodl, že odmítnutí státu poskytnout ubytování, stravu</w:t>
      </w:r>
      <w:r w:rsidR="00460264" w:rsidRPr="005A1E3D">
        <w:rPr>
          <w:color w:val="384575"/>
        </w:rPr>
        <w:t xml:space="preserve"> a </w:t>
      </w:r>
      <w:r w:rsidRPr="005A1E3D">
        <w:rPr>
          <w:color w:val="384575"/>
        </w:rPr>
        <w:t>základní hygienické zázemí sedmnáctiletému mladíkovi, který právě přicestoval</w:t>
      </w:r>
      <w:r w:rsidR="00460264" w:rsidRPr="005A1E3D">
        <w:rPr>
          <w:color w:val="384575"/>
        </w:rPr>
        <w:t xml:space="preserve"> z </w:t>
      </w:r>
      <w:r w:rsidRPr="005A1E3D">
        <w:rPr>
          <w:color w:val="384575"/>
        </w:rPr>
        <w:t>Afghánistánu, bylo protiprávní</w:t>
      </w:r>
      <w:r w:rsidR="00460264" w:rsidRPr="005A1E3D">
        <w:rPr>
          <w:color w:val="384575"/>
        </w:rPr>
        <w:t xml:space="preserve"> a </w:t>
      </w:r>
      <w:r w:rsidRPr="005A1E3D">
        <w:rPr>
          <w:color w:val="384575"/>
        </w:rPr>
        <w:t>konstatoval porušení jeho práva na důstojnost podle Listiny. Po podání žádosti</w:t>
      </w:r>
      <w:r w:rsidR="00460264" w:rsidRPr="005A1E3D">
        <w:rPr>
          <w:color w:val="384575"/>
        </w:rPr>
        <w:t xml:space="preserve"> o </w:t>
      </w:r>
      <w:r w:rsidRPr="005A1E3D">
        <w:rPr>
          <w:color w:val="384575"/>
        </w:rPr>
        <w:t>mezinárodní ochranu</w:t>
      </w:r>
      <w:r w:rsidR="00460264" w:rsidRPr="005A1E3D">
        <w:rPr>
          <w:color w:val="384575"/>
        </w:rPr>
        <w:t xml:space="preserve"> v </w:t>
      </w:r>
      <w:r w:rsidRPr="005A1E3D">
        <w:rPr>
          <w:color w:val="384575"/>
        </w:rPr>
        <w:t>Irsku bylo žadateli sděleno, že ubytování není možné,</w:t>
      </w:r>
      <w:r w:rsidR="00460264" w:rsidRPr="005A1E3D">
        <w:rPr>
          <w:color w:val="384575"/>
        </w:rPr>
        <w:t xml:space="preserve"> a </w:t>
      </w:r>
      <w:r w:rsidRPr="005A1E3D">
        <w:rPr>
          <w:color w:val="384575"/>
        </w:rPr>
        <w:t xml:space="preserve">místo toho mu byl poskytnut kupón do obchodu </w:t>
      </w:r>
      <w:proofErr w:type="spellStart"/>
      <w:r w:rsidRPr="005A1E3D">
        <w:rPr>
          <w:color w:val="384575"/>
        </w:rPr>
        <w:t>Dunnes</w:t>
      </w:r>
      <w:proofErr w:type="spellEnd"/>
      <w:r w:rsidR="00460264" w:rsidRPr="005A1E3D">
        <w:rPr>
          <w:color w:val="384575"/>
        </w:rPr>
        <w:t xml:space="preserve"> v </w:t>
      </w:r>
      <w:r w:rsidRPr="005A1E3D">
        <w:rPr>
          <w:color w:val="384575"/>
        </w:rPr>
        <w:t>hodnotě 25,00 eur.</w:t>
      </w:r>
      <w:r w:rsidR="00460264" w:rsidRPr="005A1E3D">
        <w:rPr>
          <w:color w:val="384575"/>
        </w:rPr>
        <w:t xml:space="preserve"> V </w:t>
      </w:r>
      <w:r w:rsidRPr="005A1E3D">
        <w:rPr>
          <w:color w:val="384575"/>
        </w:rPr>
        <w:t>důsledku toho strávil tři týdny na ulici.</w:t>
      </w:r>
      <w:r w:rsidRPr="005A1E3D">
        <w:rPr>
          <w:rStyle w:val="Znakapoznpodarou"/>
          <w:color w:val="384575"/>
          <w:lang w:val="en-GB"/>
        </w:rPr>
        <w:footnoteReference w:id="4"/>
      </w:r>
    </w:p>
    <w:p w14:paraId="263EE7BB" w14:textId="77777777" w:rsidR="00740BB9" w:rsidRPr="005A1E3D" w:rsidRDefault="00740BB9" w:rsidP="00740BB9">
      <w:pPr>
        <w:spacing w:after="120" w:line="276" w:lineRule="auto"/>
        <w:jc w:val="both"/>
        <w:rPr>
          <w:color w:val="384575"/>
        </w:rPr>
      </w:pPr>
      <w:r w:rsidRPr="005A1E3D">
        <w:rPr>
          <w:color w:val="384575"/>
        </w:rPr>
        <w:t>Věc týkající se žádosti</w:t>
      </w:r>
      <w:r w:rsidR="00460264" w:rsidRPr="005A1E3D">
        <w:rPr>
          <w:color w:val="384575"/>
        </w:rPr>
        <w:t xml:space="preserve"> o </w:t>
      </w:r>
      <w:r w:rsidRPr="005A1E3D">
        <w:rPr>
          <w:color w:val="384575"/>
        </w:rPr>
        <w:t>vydání soudního příkazu</w:t>
      </w:r>
      <w:r w:rsidR="00460264" w:rsidRPr="005A1E3D">
        <w:rPr>
          <w:color w:val="384575"/>
        </w:rPr>
        <w:t xml:space="preserve"> s </w:t>
      </w:r>
      <w:r w:rsidRPr="005A1E3D">
        <w:rPr>
          <w:color w:val="384575"/>
        </w:rPr>
        <w:t>cílem zamezit výkonu příkazu</w:t>
      </w:r>
      <w:r w:rsidR="00460264" w:rsidRPr="005A1E3D">
        <w:rPr>
          <w:color w:val="384575"/>
        </w:rPr>
        <w:t xml:space="preserve"> k </w:t>
      </w:r>
      <w:r w:rsidRPr="005A1E3D">
        <w:rPr>
          <w:color w:val="384575"/>
        </w:rPr>
        <w:t xml:space="preserve">vyhoštění, AO proti </w:t>
      </w:r>
      <w:proofErr w:type="spellStart"/>
      <w:r w:rsidRPr="005A1E3D">
        <w:rPr>
          <w:color w:val="384575"/>
        </w:rPr>
        <w:t>Minister</w:t>
      </w:r>
      <w:proofErr w:type="spellEnd"/>
      <w:r w:rsidRPr="005A1E3D">
        <w:rPr>
          <w:color w:val="384575"/>
        </w:rPr>
        <w:t xml:space="preserve"> </w:t>
      </w:r>
      <w:proofErr w:type="spellStart"/>
      <w:r w:rsidRPr="005A1E3D">
        <w:rPr>
          <w:color w:val="384575"/>
        </w:rPr>
        <w:t>for</w:t>
      </w:r>
      <w:proofErr w:type="spellEnd"/>
      <w:r w:rsidRPr="005A1E3D">
        <w:rPr>
          <w:color w:val="384575"/>
        </w:rPr>
        <w:t xml:space="preserve"> Justice, </w:t>
      </w:r>
      <w:proofErr w:type="spellStart"/>
      <w:r w:rsidRPr="005A1E3D">
        <w:rPr>
          <w:color w:val="384575"/>
        </w:rPr>
        <w:t>Equality</w:t>
      </w:r>
      <w:proofErr w:type="spellEnd"/>
      <w:r w:rsidRPr="005A1E3D">
        <w:rPr>
          <w:color w:val="384575"/>
        </w:rPr>
        <w:t xml:space="preserve"> and </w:t>
      </w:r>
      <w:proofErr w:type="spellStart"/>
      <w:r w:rsidRPr="005A1E3D">
        <w:rPr>
          <w:color w:val="384575"/>
        </w:rPr>
        <w:t>Law</w:t>
      </w:r>
      <w:proofErr w:type="spellEnd"/>
      <w:r w:rsidRPr="005A1E3D">
        <w:rPr>
          <w:color w:val="384575"/>
        </w:rPr>
        <w:t xml:space="preserve"> </w:t>
      </w:r>
      <w:proofErr w:type="spellStart"/>
      <w:r w:rsidRPr="005A1E3D">
        <w:rPr>
          <w:color w:val="384575"/>
        </w:rPr>
        <w:t>Reform</w:t>
      </w:r>
      <w:proofErr w:type="spellEnd"/>
      <w:r w:rsidRPr="005A1E3D">
        <w:rPr>
          <w:color w:val="384575"/>
        </w:rPr>
        <w:t xml:space="preserve"> (</w:t>
      </w:r>
      <w:r w:rsidR="00460264" w:rsidRPr="005A1E3D">
        <w:rPr>
          <w:color w:val="384575"/>
        </w:rPr>
        <w:t>č. </w:t>
      </w:r>
      <w:r w:rsidRPr="005A1E3D">
        <w:rPr>
          <w:color w:val="384575"/>
        </w:rPr>
        <w:t>3), může nadto obsahovat jednu</w:t>
      </w:r>
      <w:r w:rsidR="00460264" w:rsidRPr="005A1E3D">
        <w:rPr>
          <w:color w:val="384575"/>
        </w:rPr>
        <w:t xml:space="preserve"> z </w:t>
      </w:r>
      <w:r w:rsidRPr="005A1E3D">
        <w:rPr>
          <w:color w:val="384575"/>
        </w:rPr>
        <w:t>nejbližších analýz použitelnosti Listiny ve smyslu jejího rozsahu</w:t>
      </w:r>
      <w:r w:rsidR="00460264" w:rsidRPr="005A1E3D">
        <w:rPr>
          <w:color w:val="384575"/>
        </w:rPr>
        <w:t xml:space="preserve"> u </w:t>
      </w:r>
      <w:r w:rsidRPr="005A1E3D">
        <w:rPr>
          <w:color w:val="384575"/>
        </w:rPr>
        <w:t>irských soudů</w:t>
      </w:r>
      <w:r w:rsidR="00460264" w:rsidRPr="005A1E3D">
        <w:rPr>
          <w:color w:val="384575"/>
        </w:rPr>
        <w:t xml:space="preserve"> v </w:t>
      </w:r>
      <w:r w:rsidRPr="005A1E3D">
        <w:rPr>
          <w:color w:val="384575"/>
        </w:rPr>
        <w:t xml:space="preserve">posledních letech. Soudce </w:t>
      </w:r>
      <w:proofErr w:type="spellStart"/>
      <w:r w:rsidRPr="005A1E3D">
        <w:rPr>
          <w:color w:val="384575"/>
        </w:rPr>
        <w:t>Hogan</w:t>
      </w:r>
      <w:proofErr w:type="spellEnd"/>
      <w:r w:rsidRPr="005A1E3D">
        <w:rPr>
          <w:color w:val="384575"/>
        </w:rPr>
        <w:t xml:space="preserve"> J. poukázal na to, že výklad článku 51 Listiny je stále předmětem zkoumání unijních soudů.</w:t>
      </w:r>
      <w:r w:rsidRPr="005A1E3D">
        <w:rPr>
          <w:rStyle w:val="Znakapoznpodarou"/>
          <w:color w:val="384575"/>
          <w:lang w:val="en-GB"/>
        </w:rPr>
        <w:footnoteReference w:id="5"/>
      </w:r>
    </w:p>
    <w:p w14:paraId="564CC228" w14:textId="77777777" w:rsidR="00740BB9" w:rsidRPr="005A1E3D" w:rsidRDefault="00740BB9" w:rsidP="00740BB9">
      <w:pPr>
        <w:spacing w:after="120" w:line="276" w:lineRule="auto"/>
        <w:jc w:val="both"/>
        <w:rPr>
          <w:color w:val="384575"/>
          <w:u w:val="single"/>
        </w:rPr>
      </w:pPr>
      <w:r w:rsidRPr="005A1E3D">
        <w:rPr>
          <w:color w:val="384575"/>
        </w:rPr>
        <w:t>Méně jednoznačné případy jsou obtížnější. Je možné, že například</w:t>
      </w:r>
      <w:r w:rsidR="00460264" w:rsidRPr="005A1E3D">
        <w:rPr>
          <w:color w:val="384575"/>
        </w:rPr>
        <w:t xml:space="preserve"> v </w:t>
      </w:r>
      <w:r w:rsidRPr="005A1E3D">
        <w:rPr>
          <w:color w:val="384575"/>
        </w:rPr>
        <w:t>případě, kdy stát vykonává diskreční pravomoc podle zákona</w:t>
      </w:r>
      <w:r w:rsidR="00460264" w:rsidRPr="005A1E3D">
        <w:rPr>
          <w:color w:val="384575"/>
        </w:rPr>
        <w:t xml:space="preserve"> o </w:t>
      </w:r>
      <w:r w:rsidRPr="005A1E3D">
        <w:rPr>
          <w:color w:val="384575"/>
        </w:rPr>
        <w:t>evropském zatýkacím rozkazu</w:t>
      </w:r>
      <w:r w:rsidR="00460264" w:rsidRPr="005A1E3D">
        <w:rPr>
          <w:color w:val="384575"/>
        </w:rPr>
        <w:t xml:space="preserve"> z </w:t>
      </w:r>
      <w:r w:rsidRPr="005A1E3D">
        <w:rPr>
          <w:color w:val="384575"/>
        </w:rPr>
        <w:t xml:space="preserve">roku 2003, se Listina použije, přestože to není bezproblémové, jak uznal soudce Edwards J. ve věci </w:t>
      </w:r>
      <w:proofErr w:type="spellStart"/>
      <w:r w:rsidRPr="005A1E3D">
        <w:rPr>
          <w:i/>
          <w:color w:val="384575"/>
        </w:rPr>
        <w:t>Minister</w:t>
      </w:r>
      <w:proofErr w:type="spellEnd"/>
      <w:r w:rsidRPr="005A1E3D">
        <w:rPr>
          <w:i/>
          <w:color w:val="384575"/>
        </w:rPr>
        <w:t xml:space="preserve"> </w:t>
      </w:r>
      <w:proofErr w:type="spellStart"/>
      <w:r w:rsidRPr="005A1E3D">
        <w:rPr>
          <w:i/>
          <w:color w:val="384575"/>
        </w:rPr>
        <w:t>for</w:t>
      </w:r>
      <w:proofErr w:type="spellEnd"/>
      <w:r w:rsidRPr="005A1E3D">
        <w:rPr>
          <w:i/>
          <w:color w:val="384575"/>
        </w:rPr>
        <w:t xml:space="preserve"> Justice and </w:t>
      </w:r>
      <w:proofErr w:type="spellStart"/>
      <w:r w:rsidRPr="005A1E3D">
        <w:rPr>
          <w:i/>
          <w:color w:val="384575"/>
        </w:rPr>
        <w:t>Equality</w:t>
      </w:r>
      <w:proofErr w:type="spellEnd"/>
      <w:r w:rsidRPr="005A1E3D">
        <w:rPr>
          <w:i/>
          <w:color w:val="384575"/>
        </w:rPr>
        <w:t xml:space="preserve"> proti D.L.</w:t>
      </w:r>
      <w:r w:rsidRPr="005A1E3D">
        <w:rPr>
          <w:color w:val="384575"/>
        </w:rPr>
        <w:t xml:space="preserve"> [2011] IEHC 248. Další obtížné otázky mohou případně vyvstat</w:t>
      </w:r>
      <w:r w:rsidR="00460264" w:rsidRPr="005A1E3D">
        <w:rPr>
          <w:color w:val="384575"/>
        </w:rPr>
        <w:t xml:space="preserve"> v </w:t>
      </w:r>
      <w:r w:rsidRPr="005A1E3D">
        <w:rPr>
          <w:color w:val="384575"/>
        </w:rPr>
        <w:t>souvislosti</w:t>
      </w:r>
      <w:r w:rsidR="00460264" w:rsidRPr="005A1E3D">
        <w:rPr>
          <w:color w:val="384575"/>
        </w:rPr>
        <w:t xml:space="preserve"> s </w:t>
      </w:r>
      <w:r w:rsidRPr="005A1E3D">
        <w:rPr>
          <w:color w:val="384575"/>
        </w:rPr>
        <w:t>rozsahem použití Listiny, pokud se tvrdí, že její použití je založeno na existenci možných náhodných faktorů týkajících se státní příslušnosti</w:t>
      </w:r>
      <w:r w:rsidR="00460264" w:rsidRPr="005A1E3D">
        <w:rPr>
          <w:color w:val="384575"/>
        </w:rPr>
        <w:t xml:space="preserve"> a </w:t>
      </w:r>
      <w:r w:rsidRPr="005A1E3D">
        <w:rPr>
          <w:color w:val="384575"/>
        </w:rPr>
        <w:t>volného pohybu za okolností, které by jinak mohly naznačovat, že se jedná</w:t>
      </w:r>
      <w:r w:rsidR="00460264" w:rsidRPr="005A1E3D">
        <w:rPr>
          <w:color w:val="384575"/>
        </w:rPr>
        <w:t xml:space="preserve"> o </w:t>
      </w:r>
      <w:r w:rsidRPr="005A1E3D">
        <w:rPr>
          <w:color w:val="384575"/>
        </w:rPr>
        <w:t>události čistě vnitrostátní, pokud jde</w:t>
      </w:r>
      <w:r w:rsidR="00460264" w:rsidRPr="005A1E3D">
        <w:rPr>
          <w:color w:val="384575"/>
        </w:rPr>
        <w:t xml:space="preserve"> o </w:t>
      </w:r>
      <w:r w:rsidRPr="005A1E3D">
        <w:rPr>
          <w:color w:val="384575"/>
        </w:rPr>
        <w:t>tento členský stát. Mohla by se Listina</w:t>
      </w:r>
      <w:r>
        <w:t xml:space="preserve"> </w:t>
      </w:r>
      <w:r w:rsidRPr="005A1E3D">
        <w:rPr>
          <w:color w:val="384575"/>
        </w:rPr>
        <w:lastRenderedPageBreak/>
        <w:t>použít na otázky</w:t>
      </w:r>
      <w:r w:rsidR="00460264" w:rsidRPr="005A1E3D">
        <w:rPr>
          <w:color w:val="384575"/>
        </w:rPr>
        <w:t xml:space="preserve"> v </w:t>
      </w:r>
      <w:r w:rsidRPr="005A1E3D">
        <w:rPr>
          <w:color w:val="384575"/>
        </w:rPr>
        <w:t>tomto případě, kdyby například paní K. byla belgickou státní příslušnicí, která by</w:t>
      </w:r>
      <w:r w:rsidR="00460264" w:rsidRPr="005A1E3D">
        <w:rPr>
          <w:color w:val="384575"/>
        </w:rPr>
        <w:t xml:space="preserve"> v </w:t>
      </w:r>
      <w:r w:rsidRPr="005A1E3D">
        <w:rPr>
          <w:color w:val="384575"/>
        </w:rPr>
        <w:t>tomto státě vykonávala práva volného pohybu? Není nutné, abych tyto širší otázky zkoumal, protože, jak jsem již poznamenal, právo paní K.</w:t>
      </w:r>
      <w:r w:rsidR="00460264" w:rsidRPr="005A1E3D">
        <w:rPr>
          <w:color w:val="384575"/>
        </w:rPr>
        <w:t xml:space="preserve"> a </w:t>
      </w:r>
      <w:r w:rsidRPr="005A1E3D">
        <w:rPr>
          <w:color w:val="384575"/>
        </w:rPr>
        <w:t>dítěte C. pobývat</w:t>
      </w:r>
      <w:r w:rsidR="00460264" w:rsidRPr="005A1E3D">
        <w:rPr>
          <w:color w:val="384575"/>
        </w:rPr>
        <w:t xml:space="preserve"> v </w:t>
      </w:r>
      <w:r w:rsidRPr="005A1E3D">
        <w:rPr>
          <w:color w:val="384575"/>
        </w:rPr>
        <w:t>tomto státě vyplývá výhradně</w:t>
      </w:r>
      <w:r w:rsidR="00460264" w:rsidRPr="005A1E3D">
        <w:rPr>
          <w:color w:val="384575"/>
        </w:rPr>
        <w:t xml:space="preserve"> z </w:t>
      </w:r>
      <w:r w:rsidRPr="005A1E3D">
        <w:rPr>
          <w:color w:val="384575"/>
        </w:rPr>
        <w:t xml:space="preserve">článku 9 Ústavy na základě jejich postavení jako irských občanů. Nelze ani </w:t>
      </w:r>
      <w:proofErr w:type="gramStart"/>
      <w:r w:rsidRPr="005A1E3D">
        <w:rPr>
          <w:color w:val="384575"/>
        </w:rPr>
        <w:t>říci</w:t>
      </w:r>
      <w:proofErr w:type="gramEnd"/>
      <w:r w:rsidRPr="005A1E3D">
        <w:rPr>
          <w:color w:val="384575"/>
        </w:rPr>
        <w:t>, že by pravomoc státu rozhodnout</w:t>
      </w:r>
      <w:r w:rsidR="00460264" w:rsidRPr="005A1E3D">
        <w:rPr>
          <w:color w:val="384575"/>
        </w:rPr>
        <w:t xml:space="preserve"> o </w:t>
      </w:r>
      <w:r w:rsidRPr="005A1E3D">
        <w:rPr>
          <w:color w:val="384575"/>
        </w:rPr>
        <w:t>vyhoštění vyplývala</w:t>
      </w:r>
      <w:r w:rsidR="00460264" w:rsidRPr="005A1E3D">
        <w:rPr>
          <w:color w:val="384575"/>
        </w:rPr>
        <w:t xml:space="preserve"> z </w:t>
      </w:r>
      <w:r w:rsidRPr="005A1E3D">
        <w:rPr>
          <w:color w:val="384575"/>
        </w:rPr>
        <w:t>práva Evropské unie, neboť jak je uvedeno</w:t>
      </w:r>
      <w:r w:rsidR="00460264" w:rsidRPr="005A1E3D">
        <w:rPr>
          <w:color w:val="384575"/>
        </w:rPr>
        <w:t xml:space="preserve"> v </w:t>
      </w:r>
      <w:r w:rsidRPr="005A1E3D">
        <w:rPr>
          <w:color w:val="384575"/>
        </w:rPr>
        <w:t>zákoně</w:t>
      </w:r>
      <w:r w:rsidR="00460264" w:rsidRPr="005A1E3D">
        <w:rPr>
          <w:color w:val="384575"/>
        </w:rPr>
        <w:t xml:space="preserve"> o </w:t>
      </w:r>
      <w:r w:rsidRPr="005A1E3D">
        <w:rPr>
          <w:color w:val="384575"/>
        </w:rPr>
        <w:t>přistěhovalectví</w:t>
      </w:r>
      <w:r w:rsidR="00460264" w:rsidRPr="005A1E3D">
        <w:rPr>
          <w:color w:val="384575"/>
        </w:rPr>
        <w:t xml:space="preserve"> z </w:t>
      </w:r>
      <w:r w:rsidRPr="005A1E3D">
        <w:rPr>
          <w:color w:val="384575"/>
        </w:rPr>
        <w:t>roku 1999, jedná se spíše</w:t>
      </w:r>
      <w:r w:rsidR="00460264" w:rsidRPr="005A1E3D">
        <w:rPr>
          <w:color w:val="384575"/>
        </w:rPr>
        <w:t xml:space="preserve"> o </w:t>
      </w:r>
      <w:r w:rsidRPr="005A1E3D">
        <w:rPr>
          <w:color w:val="384575"/>
        </w:rPr>
        <w:t>legislativní vyjádření přirozeného práva všech států zakotveného</w:t>
      </w:r>
      <w:r w:rsidR="00460264" w:rsidRPr="005A1E3D">
        <w:rPr>
          <w:color w:val="384575"/>
        </w:rPr>
        <w:t xml:space="preserve"> v </w:t>
      </w:r>
      <w:r w:rsidRPr="005A1E3D">
        <w:rPr>
          <w:color w:val="384575"/>
        </w:rPr>
        <w:t>mezinárodním právu regulovat</w:t>
      </w:r>
      <w:r w:rsidR="00460264" w:rsidRPr="005A1E3D">
        <w:rPr>
          <w:color w:val="384575"/>
        </w:rPr>
        <w:t xml:space="preserve"> a </w:t>
      </w:r>
      <w:r w:rsidRPr="005A1E3D">
        <w:rPr>
          <w:color w:val="384575"/>
        </w:rPr>
        <w:t xml:space="preserve">kontrolovat své vlastní hranice: viz např. stanoviska soudců </w:t>
      </w:r>
      <w:proofErr w:type="spellStart"/>
      <w:r w:rsidRPr="005A1E3D">
        <w:rPr>
          <w:color w:val="384575"/>
        </w:rPr>
        <w:t>Keane</w:t>
      </w:r>
      <w:proofErr w:type="spellEnd"/>
      <w:r w:rsidRPr="005A1E3D">
        <w:rPr>
          <w:color w:val="384575"/>
        </w:rPr>
        <w:t xml:space="preserve"> J.</w:t>
      </w:r>
      <w:r w:rsidR="00460264" w:rsidRPr="005A1E3D">
        <w:rPr>
          <w:color w:val="384575"/>
        </w:rPr>
        <w:t xml:space="preserve"> a </w:t>
      </w:r>
      <w:proofErr w:type="spellStart"/>
      <w:r w:rsidRPr="005A1E3D">
        <w:rPr>
          <w:color w:val="384575"/>
        </w:rPr>
        <w:t>Denham</w:t>
      </w:r>
      <w:proofErr w:type="spellEnd"/>
      <w:r w:rsidRPr="005A1E3D">
        <w:rPr>
          <w:color w:val="384575"/>
        </w:rPr>
        <w:t xml:space="preserve"> J. ve věci </w:t>
      </w:r>
      <w:proofErr w:type="spellStart"/>
      <w:r w:rsidRPr="005A1E3D">
        <w:rPr>
          <w:i/>
          <w:color w:val="384575"/>
        </w:rPr>
        <w:t>Laurentiu</w:t>
      </w:r>
      <w:proofErr w:type="spellEnd"/>
      <w:r w:rsidRPr="005A1E3D">
        <w:rPr>
          <w:i/>
          <w:color w:val="384575"/>
        </w:rPr>
        <w:t xml:space="preserve"> proti. </w:t>
      </w:r>
      <w:proofErr w:type="spellStart"/>
      <w:r w:rsidRPr="005A1E3D">
        <w:rPr>
          <w:i/>
          <w:color w:val="384575"/>
        </w:rPr>
        <w:t>Minister</w:t>
      </w:r>
      <w:proofErr w:type="spellEnd"/>
      <w:r w:rsidRPr="005A1E3D">
        <w:rPr>
          <w:i/>
          <w:color w:val="384575"/>
        </w:rPr>
        <w:t xml:space="preserve"> </w:t>
      </w:r>
      <w:proofErr w:type="spellStart"/>
      <w:r w:rsidRPr="005A1E3D">
        <w:rPr>
          <w:i/>
          <w:color w:val="384575"/>
        </w:rPr>
        <w:t>for</w:t>
      </w:r>
      <w:proofErr w:type="spellEnd"/>
      <w:r w:rsidRPr="005A1E3D">
        <w:rPr>
          <w:i/>
          <w:color w:val="384575"/>
        </w:rPr>
        <w:t xml:space="preserve"> Justice</w:t>
      </w:r>
      <w:r w:rsidRPr="005A1E3D">
        <w:rPr>
          <w:color w:val="384575"/>
        </w:rPr>
        <w:t xml:space="preserve"> [1999] 4 IR 26.“</w:t>
      </w:r>
      <w:r w:rsidRPr="005A1E3D">
        <w:rPr>
          <w:rStyle w:val="Znakapoznpodarou"/>
          <w:color w:val="384575"/>
          <w:lang w:val="en-GB"/>
        </w:rPr>
        <w:footnoteReference w:id="6"/>
      </w:r>
    </w:p>
    <w:p w14:paraId="59C14E79" w14:textId="77777777" w:rsidR="00740BB9" w:rsidRPr="005A1E3D" w:rsidRDefault="00740BB9" w:rsidP="00740BB9">
      <w:pPr>
        <w:spacing w:after="120" w:line="276" w:lineRule="auto"/>
        <w:jc w:val="both"/>
        <w:rPr>
          <w:color w:val="384575"/>
        </w:rPr>
      </w:pPr>
      <w:r w:rsidRPr="005A1E3D">
        <w:rPr>
          <w:color w:val="384575"/>
        </w:rPr>
        <w:t>V jiné význačné věci hrála Listina roli</w:t>
      </w:r>
      <w:r w:rsidR="00460264" w:rsidRPr="005A1E3D">
        <w:rPr>
          <w:color w:val="384575"/>
        </w:rPr>
        <w:t xml:space="preserve"> v </w:t>
      </w:r>
      <w:r w:rsidRPr="005A1E3D">
        <w:rPr>
          <w:color w:val="384575"/>
        </w:rPr>
        <w:t>irském soudním přezkumu rozhodnutí ministra spravedlnosti</w:t>
      </w:r>
      <w:r w:rsidR="00460264" w:rsidRPr="005A1E3D">
        <w:rPr>
          <w:color w:val="384575"/>
        </w:rPr>
        <w:t xml:space="preserve"> a </w:t>
      </w:r>
      <w:r w:rsidRPr="005A1E3D">
        <w:rPr>
          <w:color w:val="384575"/>
        </w:rPr>
        <w:t>rovnosti.</w:t>
      </w:r>
      <w:r w:rsidRPr="005A1E3D">
        <w:rPr>
          <w:rStyle w:val="Znakapoznpodarou"/>
          <w:color w:val="384575"/>
          <w:lang w:val="en-GB"/>
        </w:rPr>
        <w:footnoteReference w:id="7"/>
      </w:r>
      <w:r w:rsidR="00460264" w:rsidRPr="005A1E3D">
        <w:rPr>
          <w:color w:val="384575"/>
        </w:rPr>
        <w:t xml:space="preserve"> V </w:t>
      </w:r>
      <w:r w:rsidRPr="005A1E3D">
        <w:rPr>
          <w:color w:val="384575"/>
        </w:rPr>
        <w:t>tomto případě byl žalobce, nigerijský státní příslušník, který požádal</w:t>
      </w:r>
      <w:r w:rsidR="00460264" w:rsidRPr="005A1E3D">
        <w:rPr>
          <w:color w:val="384575"/>
        </w:rPr>
        <w:t xml:space="preserve"> o </w:t>
      </w:r>
      <w:r w:rsidRPr="005A1E3D">
        <w:rPr>
          <w:color w:val="384575"/>
        </w:rPr>
        <w:t>azyl, ale byl odmítnut, zároveň partnerem druhého žalobce. Žalobce tvrdil, že vzhledem</w:t>
      </w:r>
      <w:r w:rsidR="00460264" w:rsidRPr="005A1E3D">
        <w:rPr>
          <w:color w:val="384575"/>
        </w:rPr>
        <w:t xml:space="preserve"> k </w:t>
      </w:r>
      <w:r w:rsidRPr="005A1E3D">
        <w:rPr>
          <w:color w:val="384575"/>
        </w:rPr>
        <w:t xml:space="preserve">tomu, že jeho vyhoštěním byl porušen článek 8 EÚLP tím, že nebylo respektováno jeho právo na rodinný život, má právo na nápravu na základě rozsudku Soudního dvora ve věci </w:t>
      </w:r>
      <w:proofErr w:type="spellStart"/>
      <w:r w:rsidRPr="005A1E3D">
        <w:rPr>
          <w:i/>
          <w:color w:val="384575"/>
        </w:rPr>
        <w:t>Zambrano</w:t>
      </w:r>
      <w:proofErr w:type="spellEnd"/>
      <w:r w:rsidRPr="005A1E3D">
        <w:rPr>
          <w:color w:val="384575"/>
        </w:rPr>
        <w:t>.</w:t>
      </w:r>
      <w:r w:rsidRPr="005A1E3D">
        <w:rPr>
          <w:rStyle w:val="Znakapoznpodarou"/>
          <w:color w:val="384575"/>
          <w:lang w:val="en-GB"/>
        </w:rPr>
        <w:footnoteReference w:id="8"/>
      </w:r>
      <w:r w:rsidR="00460264" w:rsidRPr="005A1E3D">
        <w:rPr>
          <w:color w:val="384575"/>
        </w:rPr>
        <w:t xml:space="preserve"> V </w:t>
      </w:r>
      <w:r w:rsidRPr="005A1E3D">
        <w:rPr>
          <w:color w:val="384575"/>
        </w:rPr>
        <w:t xml:space="preserve">tomto rozsudku soudce </w:t>
      </w:r>
      <w:proofErr w:type="spellStart"/>
      <w:r w:rsidRPr="005A1E3D">
        <w:rPr>
          <w:color w:val="384575"/>
        </w:rPr>
        <w:t>McDermott</w:t>
      </w:r>
      <w:proofErr w:type="spellEnd"/>
      <w:r w:rsidRPr="005A1E3D">
        <w:rPr>
          <w:color w:val="384575"/>
        </w:rPr>
        <w:t xml:space="preserve"> J. rozhodl, že žalobci neprokázali, že</w:t>
      </w:r>
      <w:r w:rsidR="00460264" w:rsidRPr="005A1E3D">
        <w:rPr>
          <w:color w:val="384575"/>
        </w:rPr>
        <w:t xml:space="preserve"> v </w:t>
      </w:r>
      <w:r w:rsidRPr="005A1E3D">
        <w:rPr>
          <w:color w:val="384575"/>
        </w:rPr>
        <w:t>rozhodnutí žalovaného došlo</w:t>
      </w:r>
      <w:r w:rsidR="00460264" w:rsidRPr="005A1E3D">
        <w:rPr>
          <w:color w:val="384575"/>
        </w:rPr>
        <w:t xml:space="preserve"> k </w:t>
      </w:r>
      <w:r w:rsidRPr="005A1E3D">
        <w:rPr>
          <w:color w:val="384575"/>
        </w:rPr>
        <w:t>zásadnímu pochybení. I když se nejednalo</w:t>
      </w:r>
      <w:r w:rsidR="00460264" w:rsidRPr="005A1E3D">
        <w:rPr>
          <w:color w:val="384575"/>
        </w:rPr>
        <w:t xml:space="preserve"> o </w:t>
      </w:r>
      <w:r w:rsidRPr="005A1E3D">
        <w:rPr>
          <w:color w:val="384575"/>
        </w:rPr>
        <w:t>jeho biologické potomky, práva žalobce byla řádně zohledněna</w:t>
      </w:r>
      <w:r w:rsidR="00460264" w:rsidRPr="005A1E3D">
        <w:rPr>
          <w:color w:val="384575"/>
        </w:rPr>
        <w:t xml:space="preserve"> a </w:t>
      </w:r>
      <w:r w:rsidRPr="005A1E3D">
        <w:rPr>
          <w:color w:val="384575"/>
        </w:rPr>
        <w:t>blaho</w:t>
      </w:r>
      <w:r w:rsidR="00460264" w:rsidRPr="005A1E3D">
        <w:rPr>
          <w:color w:val="384575"/>
        </w:rPr>
        <w:t xml:space="preserve"> a </w:t>
      </w:r>
      <w:r w:rsidRPr="005A1E3D">
        <w:rPr>
          <w:color w:val="384575"/>
        </w:rPr>
        <w:t>nejlepší zájem dětí byly řádně posouzeny. Snaha žalobce prokázat na základě předložených argumentů, že rozhodnutí</w:t>
      </w:r>
      <w:r w:rsidR="00460264" w:rsidRPr="005A1E3D">
        <w:rPr>
          <w:color w:val="384575"/>
        </w:rPr>
        <w:t xml:space="preserve"> o </w:t>
      </w:r>
      <w:r w:rsidRPr="005A1E3D">
        <w:rPr>
          <w:color w:val="384575"/>
        </w:rPr>
        <w:t>zamítnutí zrušení vyhoštění je neplatné, soud nepřesvědčila. Žalobce nadále lhal</w:t>
      </w:r>
      <w:r w:rsidR="00460264" w:rsidRPr="005A1E3D">
        <w:rPr>
          <w:color w:val="384575"/>
        </w:rPr>
        <w:t xml:space="preserve"> o </w:t>
      </w:r>
      <w:r w:rsidRPr="005A1E3D">
        <w:rPr>
          <w:color w:val="384575"/>
        </w:rPr>
        <w:t>tom, kdy do státu přicestoval. Žalobce po celou dobu nerespektoval imigrační</w:t>
      </w:r>
      <w:r w:rsidR="00460264" w:rsidRPr="005A1E3D">
        <w:rPr>
          <w:color w:val="384575"/>
        </w:rPr>
        <w:t xml:space="preserve"> a </w:t>
      </w:r>
      <w:r w:rsidRPr="005A1E3D">
        <w:rPr>
          <w:color w:val="384575"/>
        </w:rPr>
        <w:t>azylové zákony, přičemž nadále vedl rodinný život, ačkoli si byl vědom,</w:t>
      </w:r>
      <w:r w:rsidR="00460264" w:rsidRPr="005A1E3D">
        <w:rPr>
          <w:color w:val="384575"/>
        </w:rPr>
        <w:t xml:space="preserve"> v </w:t>
      </w:r>
      <w:r w:rsidRPr="005A1E3D">
        <w:rPr>
          <w:color w:val="384575"/>
        </w:rPr>
        <w:t>jak nebezpečné situaci se nachází.</w:t>
      </w:r>
    </w:p>
    <w:p w14:paraId="67EC5EE8" w14:textId="77777777" w:rsidR="00740BB9" w:rsidRPr="005A1E3D" w:rsidRDefault="00740BB9" w:rsidP="00740BB9">
      <w:pPr>
        <w:spacing w:after="120" w:line="276" w:lineRule="auto"/>
        <w:jc w:val="both"/>
        <w:rPr>
          <w:color w:val="384575"/>
        </w:rPr>
      </w:pPr>
      <w:r w:rsidRPr="005A1E3D">
        <w:rPr>
          <w:color w:val="384575"/>
        </w:rPr>
        <w:t>V neposlední řadě stojí za zmínku, že se Soudní dvůr</w:t>
      </w:r>
      <w:r w:rsidR="00460264" w:rsidRPr="005A1E3D">
        <w:rPr>
          <w:color w:val="384575"/>
        </w:rPr>
        <w:t xml:space="preserve"> a </w:t>
      </w:r>
      <w:r w:rsidRPr="005A1E3D">
        <w:rPr>
          <w:color w:val="384575"/>
        </w:rPr>
        <w:t xml:space="preserve">vnitrostátní soudy dostávají do rozporu, například ve věci </w:t>
      </w:r>
      <w:r w:rsidRPr="005A1E3D">
        <w:rPr>
          <w:i/>
          <w:color w:val="384575"/>
        </w:rPr>
        <w:t xml:space="preserve">Graham </w:t>
      </w:r>
      <w:proofErr w:type="spellStart"/>
      <w:r w:rsidRPr="005A1E3D">
        <w:rPr>
          <w:i/>
          <w:color w:val="384575"/>
        </w:rPr>
        <w:t>Dwyer</w:t>
      </w:r>
      <w:proofErr w:type="spellEnd"/>
      <w:r w:rsidRPr="005A1E3D">
        <w:rPr>
          <w:i/>
          <w:color w:val="384575"/>
        </w:rPr>
        <w:t xml:space="preserve"> proti Data </w:t>
      </w:r>
      <w:proofErr w:type="spellStart"/>
      <w:r w:rsidRPr="005A1E3D">
        <w:rPr>
          <w:i/>
          <w:color w:val="384575"/>
        </w:rPr>
        <w:t>Commissioner</w:t>
      </w:r>
      <w:proofErr w:type="spellEnd"/>
      <w:r w:rsidRPr="005A1E3D">
        <w:rPr>
          <w:color w:val="384575"/>
        </w:rPr>
        <w:t>.</w:t>
      </w:r>
      <w:r w:rsidR="00460264" w:rsidRPr="005A1E3D">
        <w:rPr>
          <w:color w:val="384575"/>
        </w:rPr>
        <w:t xml:space="preserve"> V </w:t>
      </w:r>
      <w:r w:rsidRPr="005A1E3D">
        <w:rPr>
          <w:color w:val="384575"/>
        </w:rPr>
        <w:t xml:space="preserve">této věci porota dne 27. března 2015 uznala Grahama </w:t>
      </w:r>
      <w:proofErr w:type="spellStart"/>
      <w:r w:rsidRPr="005A1E3D">
        <w:rPr>
          <w:color w:val="384575"/>
        </w:rPr>
        <w:t>Dwyera</w:t>
      </w:r>
      <w:proofErr w:type="spellEnd"/>
      <w:r w:rsidRPr="005A1E3D">
        <w:rPr>
          <w:color w:val="384575"/>
        </w:rPr>
        <w:t xml:space="preserve"> vinným</w:t>
      </w:r>
      <w:r w:rsidR="00460264" w:rsidRPr="005A1E3D">
        <w:rPr>
          <w:color w:val="384575"/>
        </w:rPr>
        <w:t xml:space="preserve"> z </w:t>
      </w:r>
      <w:r w:rsidRPr="005A1E3D">
        <w:rPr>
          <w:color w:val="384575"/>
        </w:rPr>
        <w:t xml:space="preserve">vraždy paní </w:t>
      </w:r>
      <w:proofErr w:type="spellStart"/>
      <w:r w:rsidRPr="005A1E3D">
        <w:rPr>
          <w:color w:val="384575"/>
        </w:rPr>
        <w:t>Elaine</w:t>
      </w:r>
      <w:proofErr w:type="spellEnd"/>
      <w:r w:rsidRPr="005A1E3D">
        <w:rPr>
          <w:color w:val="384575"/>
        </w:rPr>
        <w:t xml:space="preserve"> </w:t>
      </w:r>
      <w:proofErr w:type="spellStart"/>
      <w:r w:rsidRPr="005A1E3D">
        <w:rPr>
          <w:color w:val="384575"/>
        </w:rPr>
        <w:t>O’Hara</w:t>
      </w:r>
      <w:proofErr w:type="spellEnd"/>
      <w:r w:rsidRPr="005A1E3D">
        <w:rPr>
          <w:color w:val="384575"/>
        </w:rPr>
        <w:t>. Dne 25. dubna 2015 byl odsouzen</w:t>
      </w:r>
      <w:r w:rsidR="00460264" w:rsidRPr="005A1E3D">
        <w:rPr>
          <w:color w:val="384575"/>
        </w:rPr>
        <w:t xml:space="preserve"> k </w:t>
      </w:r>
      <w:r w:rsidRPr="005A1E3D">
        <w:rPr>
          <w:color w:val="384575"/>
        </w:rPr>
        <w:t>trestu odnětí svobody na doživotí. Při vyšetřování, které vedlo</w:t>
      </w:r>
      <w:r w:rsidR="00460264" w:rsidRPr="005A1E3D">
        <w:rPr>
          <w:color w:val="384575"/>
        </w:rPr>
        <w:t xml:space="preserve"> k </w:t>
      </w:r>
      <w:r w:rsidRPr="005A1E3D">
        <w:rPr>
          <w:color w:val="384575"/>
        </w:rPr>
        <w:t>soudnímu řízení, byly použity údaje</w:t>
      </w:r>
      <w:r w:rsidR="00460264" w:rsidRPr="005A1E3D">
        <w:rPr>
          <w:color w:val="384575"/>
        </w:rPr>
        <w:t xml:space="preserve"> z </w:t>
      </w:r>
      <w:r w:rsidRPr="005A1E3D">
        <w:rPr>
          <w:color w:val="384575"/>
        </w:rPr>
        <w:t>mobilních telefonů získané</w:t>
      </w:r>
      <w:r w:rsidR="00460264" w:rsidRPr="005A1E3D">
        <w:rPr>
          <w:color w:val="384575"/>
        </w:rPr>
        <w:t xml:space="preserve"> z </w:t>
      </w:r>
      <w:r w:rsidRPr="005A1E3D">
        <w:rPr>
          <w:color w:val="384575"/>
        </w:rPr>
        <w:t>telefonu, který žalobci poskytl jeho zaměstnavatel. Zákon</w:t>
      </w:r>
      <w:r w:rsidR="00460264" w:rsidRPr="005A1E3D">
        <w:rPr>
          <w:color w:val="384575"/>
        </w:rPr>
        <w:t xml:space="preserve"> z </w:t>
      </w:r>
      <w:r w:rsidRPr="005A1E3D">
        <w:rPr>
          <w:color w:val="384575"/>
        </w:rPr>
        <w:t>roku 2011 umožňoval uchovávání těchto údajů</w:t>
      </w:r>
      <w:r w:rsidR="00460264" w:rsidRPr="005A1E3D">
        <w:rPr>
          <w:color w:val="384575"/>
        </w:rPr>
        <w:t xml:space="preserve"> a </w:t>
      </w:r>
      <w:r w:rsidRPr="005A1E3D">
        <w:rPr>
          <w:color w:val="384575"/>
        </w:rPr>
        <w:t>přístup</w:t>
      </w:r>
      <w:r w:rsidR="00460264" w:rsidRPr="005A1E3D">
        <w:rPr>
          <w:color w:val="384575"/>
        </w:rPr>
        <w:t xml:space="preserve"> k </w:t>
      </w:r>
      <w:r w:rsidRPr="005A1E3D">
        <w:rPr>
          <w:color w:val="384575"/>
        </w:rPr>
        <w:t xml:space="preserve">nim. Podle G. </w:t>
      </w:r>
      <w:proofErr w:type="spellStart"/>
      <w:r w:rsidRPr="005A1E3D">
        <w:rPr>
          <w:color w:val="384575"/>
        </w:rPr>
        <w:t>Dwyera</w:t>
      </w:r>
      <w:proofErr w:type="spellEnd"/>
      <w:r w:rsidRPr="005A1E3D">
        <w:rPr>
          <w:color w:val="384575"/>
        </w:rPr>
        <w:t xml:space="preserve"> byly informace získané</w:t>
      </w:r>
      <w:r w:rsidR="00460264" w:rsidRPr="005A1E3D">
        <w:rPr>
          <w:color w:val="384575"/>
        </w:rPr>
        <w:t xml:space="preserve"> z </w:t>
      </w:r>
      <w:r w:rsidRPr="005A1E3D">
        <w:rPr>
          <w:color w:val="384575"/>
        </w:rPr>
        <w:t>jeho telefonu na základě zákona</w:t>
      </w:r>
      <w:r w:rsidR="00460264" w:rsidRPr="005A1E3D">
        <w:rPr>
          <w:color w:val="384575"/>
        </w:rPr>
        <w:t xml:space="preserve"> o </w:t>
      </w:r>
      <w:r w:rsidRPr="005A1E3D">
        <w:rPr>
          <w:color w:val="384575"/>
        </w:rPr>
        <w:t>komunikacích (uchovávání údajů)</w:t>
      </w:r>
      <w:r w:rsidR="00460264" w:rsidRPr="005A1E3D">
        <w:rPr>
          <w:color w:val="384575"/>
        </w:rPr>
        <w:t xml:space="preserve"> z </w:t>
      </w:r>
      <w:r w:rsidRPr="005A1E3D">
        <w:rPr>
          <w:color w:val="384575"/>
        </w:rPr>
        <w:t>roku 2011 neoprávněně použity během soudního řízení před Ústředním trestním soudem</w:t>
      </w:r>
      <w:r w:rsidR="00460264" w:rsidRPr="005A1E3D">
        <w:rPr>
          <w:color w:val="384575"/>
        </w:rPr>
        <w:t xml:space="preserve"> v </w:t>
      </w:r>
      <w:r w:rsidRPr="005A1E3D">
        <w:rPr>
          <w:color w:val="384575"/>
        </w:rPr>
        <w:t>roce 2015.</w:t>
      </w:r>
      <w:r w:rsidR="00460264" w:rsidRPr="005A1E3D">
        <w:rPr>
          <w:color w:val="384575"/>
        </w:rPr>
        <w:t xml:space="preserve"> Z </w:t>
      </w:r>
      <w:r w:rsidRPr="005A1E3D">
        <w:rPr>
          <w:color w:val="384575"/>
        </w:rPr>
        <w:t xml:space="preserve">pracovního telefonu G. </w:t>
      </w:r>
      <w:proofErr w:type="spellStart"/>
      <w:r w:rsidRPr="005A1E3D">
        <w:rPr>
          <w:color w:val="384575"/>
        </w:rPr>
        <w:t>Dwyera</w:t>
      </w:r>
      <w:proofErr w:type="spellEnd"/>
      <w:r w:rsidRPr="005A1E3D">
        <w:rPr>
          <w:color w:val="384575"/>
        </w:rPr>
        <w:t xml:space="preserve"> byly získány údaje, které určovaly polohu telefonu na daném místě</w:t>
      </w:r>
      <w:r w:rsidR="00460264" w:rsidRPr="005A1E3D">
        <w:rPr>
          <w:color w:val="384575"/>
        </w:rPr>
        <w:t xml:space="preserve"> v </w:t>
      </w:r>
      <w:r w:rsidRPr="005A1E3D">
        <w:rPr>
          <w:color w:val="384575"/>
        </w:rPr>
        <w:t xml:space="preserve">daném čase. Obžaloba tvrdí, že G. </w:t>
      </w:r>
      <w:proofErr w:type="spellStart"/>
      <w:r w:rsidRPr="005A1E3D">
        <w:rPr>
          <w:color w:val="384575"/>
        </w:rPr>
        <w:t>Dwyer</w:t>
      </w:r>
      <w:proofErr w:type="spellEnd"/>
      <w:r w:rsidRPr="005A1E3D">
        <w:rPr>
          <w:color w:val="384575"/>
        </w:rPr>
        <w:t xml:space="preserve"> použil tyto údaje</w:t>
      </w:r>
      <w:r w:rsidR="00460264" w:rsidRPr="005A1E3D">
        <w:rPr>
          <w:color w:val="384575"/>
        </w:rPr>
        <w:t xml:space="preserve"> k </w:t>
      </w:r>
      <w:r w:rsidRPr="005A1E3D">
        <w:rPr>
          <w:color w:val="384575"/>
        </w:rPr>
        <w:t>připojení</w:t>
      </w:r>
      <w:r w:rsidR="00460264" w:rsidRPr="005A1E3D">
        <w:rPr>
          <w:color w:val="384575"/>
        </w:rPr>
        <w:t xml:space="preserve"> k </w:t>
      </w:r>
      <w:r w:rsidRPr="005A1E3D">
        <w:rPr>
          <w:color w:val="384575"/>
        </w:rPr>
        <w:t>jinému mobilnímu telefonu, který získal</w:t>
      </w:r>
      <w:r w:rsidR="00460264" w:rsidRPr="005A1E3D">
        <w:rPr>
          <w:color w:val="384575"/>
        </w:rPr>
        <w:t xml:space="preserve"> a </w:t>
      </w:r>
      <w:r w:rsidRPr="005A1E3D">
        <w:rPr>
          <w:color w:val="384575"/>
        </w:rPr>
        <w:t>použil ke spojení</w:t>
      </w:r>
      <w:r w:rsidR="00460264" w:rsidRPr="005A1E3D">
        <w:rPr>
          <w:color w:val="384575"/>
        </w:rPr>
        <w:t xml:space="preserve"> s </w:t>
      </w:r>
      <w:r w:rsidRPr="005A1E3D">
        <w:rPr>
          <w:color w:val="384575"/>
        </w:rPr>
        <w:t xml:space="preserve">E. </w:t>
      </w:r>
      <w:proofErr w:type="spellStart"/>
      <w:r w:rsidRPr="005A1E3D">
        <w:rPr>
          <w:color w:val="384575"/>
        </w:rPr>
        <w:t>O’Hara</w:t>
      </w:r>
      <w:proofErr w:type="spellEnd"/>
      <w:r w:rsidRPr="005A1E3D">
        <w:rPr>
          <w:color w:val="384575"/>
        </w:rPr>
        <w:t>.</w:t>
      </w:r>
    </w:p>
    <w:p w14:paraId="7201DA25" w14:textId="77777777" w:rsidR="00740BB9" w:rsidRPr="005A1E3D" w:rsidRDefault="00740BB9" w:rsidP="00740BB9">
      <w:pPr>
        <w:spacing w:after="120" w:line="276" w:lineRule="auto"/>
        <w:jc w:val="both"/>
        <w:rPr>
          <w:color w:val="384575"/>
        </w:rPr>
      </w:pPr>
      <w:r w:rsidRPr="005A1E3D">
        <w:rPr>
          <w:color w:val="384575"/>
        </w:rPr>
        <w:t xml:space="preserve">Podle G. </w:t>
      </w:r>
      <w:proofErr w:type="spellStart"/>
      <w:r w:rsidRPr="005A1E3D">
        <w:rPr>
          <w:color w:val="384575"/>
        </w:rPr>
        <w:t>Dwyera</w:t>
      </w:r>
      <w:proofErr w:type="spellEnd"/>
      <w:r w:rsidRPr="005A1E3D">
        <w:rPr>
          <w:color w:val="384575"/>
        </w:rPr>
        <w:t xml:space="preserve"> porušuje </w:t>
      </w:r>
      <w:r w:rsidR="00460264" w:rsidRPr="005A1E3D">
        <w:rPr>
          <w:color w:val="384575"/>
        </w:rPr>
        <w:t>čl. </w:t>
      </w:r>
      <w:r w:rsidRPr="005A1E3D">
        <w:rPr>
          <w:color w:val="384575"/>
        </w:rPr>
        <w:t>3 odst. 1 zákona</w:t>
      </w:r>
      <w:r w:rsidR="00460264" w:rsidRPr="005A1E3D">
        <w:rPr>
          <w:color w:val="384575"/>
        </w:rPr>
        <w:t xml:space="preserve"> z </w:t>
      </w:r>
      <w:r w:rsidRPr="005A1E3D">
        <w:rPr>
          <w:color w:val="384575"/>
        </w:rPr>
        <w:t xml:space="preserve">roku 2011 </w:t>
      </w:r>
      <w:r w:rsidR="00460264" w:rsidRPr="005A1E3D">
        <w:rPr>
          <w:color w:val="384575"/>
        </w:rPr>
        <w:t>čl. </w:t>
      </w:r>
      <w:r w:rsidRPr="005A1E3D">
        <w:rPr>
          <w:color w:val="384575"/>
        </w:rPr>
        <w:t>15 odst. 1 směrnice</w:t>
      </w:r>
      <w:r w:rsidR="00460264" w:rsidRPr="005A1E3D">
        <w:rPr>
          <w:color w:val="384575"/>
        </w:rPr>
        <w:t xml:space="preserve"> z </w:t>
      </w:r>
      <w:r w:rsidRPr="005A1E3D">
        <w:rPr>
          <w:color w:val="384575"/>
        </w:rPr>
        <w:t>roku 2002, protože umožňuje rozsáhlé</w:t>
      </w:r>
      <w:r w:rsidR="00460264" w:rsidRPr="005A1E3D">
        <w:rPr>
          <w:color w:val="384575"/>
        </w:rPr>
        <w:t xml:space="preserve"> a </w:t>
      </w:r>
      <w:r w:rsidRPr="005A1E3D">
        <w:rPr>
          <w:color w:val="384575"/>
        </w:rPr>
        <w:t>nerozlišující uchovávání telefonních údajů</w:t>
      </w:r>
      <w:r w:rsidR="00460264" w:rsidRPr="005A1E3D">
        <w:rPr>
          <w:color w:val="384575"/>
        </w:rPr>
        <w:t xml:space="preserve"> v </w:t>
      </w:r>
      <w:r w:rsidRPr="005A1E3D">
        <w:rPr>
          <w:color w:val="384575"/>
        </w:rPr>
        <w:t>rozporu</w:t>
      </w:r>
      <w:r w:rsidR="00460264" w:rsidRPr="005A1E3D">
        <w:rPr>
          <w:color w:val="384575"/>
        </w:rPr>
        <w:t xml:space="preserve"> s </w:t>
      </w:r>
      <w:r w:rsidRPr="005A1E3D">
        <w:rPr>
          <w:color w:val="384575"/>
        </w:rPr>
        <w:t>články 7, 8, 11</w:t>
      </w:r>
      <w:r w:rsidR="00460264" w:rsidRPr="005A1E3D">
        <w:rPr>
          <w:color w:val="384575"/>
        </w:rPr>
        <w:t xml:space="preserve"> a </w:t>
      </w:r>
      <w:r w:rsidRPr="005A1E3D">
        <w:rPr>
          <w:color w:val="384575"/>
        </w:rPr>
        <w:t>52 Listiny</w:t>
      </w:r>
      <w:r w:rsidR="00460264" w:rsidRPr="005A1E3D">
        <w:rPr>
          <w:color w:val="384575"/>
        </w:rPr>
        <w:t xml:space="preserve"> a </w:t>
      </w:r>
      <w:r w:rsidRPr="005A1E3D">
        <w:rPr>
          <w:color w:val="384575"/>
        </w:rPr>
        <w:t>články 8</w:t>
      </w:r>
      <w:r w:rsidR="00460264" w:rsidRPr="005A1E3D">
        <w:rPr>
          <w:color w:val="384575"/>
        </w:rPr>
        <w:t xml:space="preserve"> a </w:t>
      </w:r>
      <w:r w:rsidRPr="005A1E3D">
        <w:rPr>
          <w:color w:val="384575"/>
        </w:rPr>
        <w:t xml:space="preserve">10 EÚLP. </w:t>
      </w:r>
    </w:p>
    <w:p w14:paraId="4C1AC4E9" w14:textId="77777777" w:rsidR="00740BB9" w:rsidRPr="005A1E3D" w:rsidRDefault="00740BB9" w:rsidP="00740BB9">
      <w:pPr>
        <w:spacing w:after="120" w:line="276" w:lineRule="auto"/>
        <w:jc w:val="both"/>
        <w:rPr>
          <w:color w:val="384575"/>
        </w:rPr>
      </w:pPr>
      <w:r w:rsidRPr="005A1E3D">
        <w:rPr>
          <w:color w:val="384575"/>
        </w:rPr>
        <w:lastRenderedPageBreak/>
        <w:t xml:space="preserve">Vrchní soud zejména uvedl, že </w:t>
      </w:r>
    </w:p>
    <w:p w14:paraId="3A010812" w14:textId="77777777" w:rsidR="00740BB9" w:rsidRPr="005A1E3D" w:rsidRDefault="00740BB9" w:rsidP="00740BB9">
      <w:pPr>
        <w:spacing w:after="120" w:line="276" w:lineRule="auto"/>
        <w:ind w:left="720"/>
        <w:jc w:val="both"/>
        <w:rPr>
          <w:color w:val="384575"/>
        </w:rPr>
      </w:pPr>
      <w:r w:rsidRPr="005A1E3D">
        <w:rPr>
          <w:color w:val="384575"/>
        </w:rPr>
        <w:t>„požadavky Listiny na Ústavu“ jsou neodůvodněné, protože „irské vyšší soudy mají výlučnou pravomoc vymezit rozsah</w:t>
      </w:r>
      <w:r w:rsidR="00460264" w:rsidRPr="005A1E3D">
        <w:rPr>
          <w:color w:val="384575"/>
        </w:rPr>
        <w:t xml:space="preserve"> a </w:t>
      </w:r>
      <w:r w:rsidRPr="005A1E3D">
        <w:rPr>
          <w:color w:val="384575"/>
        </w:rPr>
        <w:t>meze práv chráněných Ústavou, která byla zaručena po mnoho desetiletí dávno předtím, než byla Listina vyhlášena nebo nabyla právní účinnosti“. Navíc logika, která byla základem rozboru SDEU, nemusí být nutně stejně použitelná</w:t>
      </w:r>
      <w:r w:rsidR="00460264" w:rsidRPr="005A1E3D">
        <w:rPr>
          <w:color w:val="384575"/>
        </w:rPr>
        <w:t xml:space="preserve"> i </w:t>
      </w:r>
      <w:r w:rsidRPr="005A1E3D">
        <w:rPr>
          <w:color w:val="384575"/>
        </w:rPr>
        <w:t>pro rozbor na ústavní úrovni“.</w:t>
      </w:r>
      <w:r w:rsidRPr="005A1E3D">
        <w:rPr>
          <w:rStyle w:val="Znakapoznpodarou"/>
          <w:color w:val="384575"/>
          <w:lang w:val="en-GB"/>
        </w:rPr>
        <w:footnoteReference w:id="9"/>
      </w:r>
    </w:p>
    <w:p w14:paraId="549F63D1" w14:textId="77777777" w:rsidR="00740BB9" w:rsidRPr="005A1E3D" w:rsidRDefault="00740BB9" w:rsidP="00740BB9">
      <w:pPr>
        <w:spacing w:after="120" w:line="276" w:lineRule="auto"/>
        <w:jc w:val="both"/>
        <w:rPr>
          <w:color w:val="384575"/>
        </w:rPr>
      </w:pPr>
      <w:r w:rsidRPr="005A1E3D">
        <w:rPr>
          <w:color w:val="384575"/>
        </w:rPr>
        <w:t>Stát tvrdil, že právní předpisy umožňující přístup</w:t>
      </w:r>
      <w:r w:rsidR="00460264" w:rsidRPr="005A1E3D">
        <w:rPr>
          <w:color w:val="384575"/>
        </w:rPr>
        <w:t xml:space="preserve"> k </w:t>
      </w:r>
      <w:r w:rsidRPr="005A1E3D">
        <w:rPr>
          <w:color w:val="384575"/>
        </w:rPr>
        <w:t>uloženým údajům</w:t>
      </w:r>
      <w:r w:rsidR="00460264" w:rsidRPr="005A1E3D">
        <w:rPr>
          <w:color w:val="384575"/>
        </w:rPr>
        <w:t xml:space="preserve"> a </w:t>
      </w:r>
      <w:r w:rsidRPr="005A1E3D">
        <w:rPr>
          <w:color w:val="384575"/>
        </w:rPr>
        <w:t>jejich využívání orgány mají zásadní význam pro identifikaci, stíhání</w:t>
      </w:r>
      <w:r w:rsidR="00460264" w:rsidRPr="005A1E3D">
        <w:rPr>
          <w:color w:val="384575"/>
        </w:rPr>
        <w:t xml:space="preserve"> a </w:t>
      </w:r>
      <w:r w:rsidRPr="005A1E3D">
        <w:rPr>
          <w:color w:val="384575"/>
        </w:rPr>
        <w:t xml:space="preserve">potírání závažných trestných činů, včetně </w:t>
      </w:r>
      <w:proofErr w:type="spellStart"/>
      <w:r w:rsidRPr="005A1E3D">
        <w:rPr>
          <w:color w:val="384575"/>
        </w:rPr>
        <w:t>kyberkriminality</w:t>
      </w:r>
      <w:proofErr w:type="spellEnd"/>
      <w:r w:rsidRPr="005A1E3D">
        <w:rPr>
          <w:color w:val="384575"/>
        </w:rPr>
        <w:t>, organizovaného zločinu, organizovaných skupin, vražd</w:t>
      </w:r>
      <w:r w:rsidR="00460264" w:rsidRPr="005A1E3D">
        <w:rPr>
          <w:color w:val="384575"/>
        </w:rPr>
        <w:t xml:space="preserve"> a </w:t>
      </w:r>
      <w:r w:rsidRPr="005A1E3D">
        <w:rPr>
          <w:color w:val="384575"/>
        </w:rPr>
        <w:t>terorismu. Podle irského Vrchního soudu jsou irské právní předpisy týkající se uchovávání telekomunikačních údajů</w:t>
      </w:r>
      <w:r w:rsidR="00460264" w:rsidRPr="005A1E3D">
        <w:rPr>
          <w:color w:val="384575"/>
        </w:rPr>
        <w:t xml:space="preserve"> v </w:t>
      </w:r>
      <w:r w:rsidRPr="005A1E3D">
        <w:rPr>
          <w:color w:val="384575"/>
        </w:rPr>
        <w:t>rozporu</w:t>
      </w:r>
      <w:r w:rsidR="00460264" w:rsidRPr="005A1E3D">
        <w:rPr>
          <w:color w:val="384575"/>
        </w:rPr>
        <w:t xml:space="preserve"> s </w:t>
      </w:r>
      <w:r w:rsidRPr="005A1E3D">
        <w:rPr>
          <w:color w:val="384575"/>
        </w:rPr>
        <w:t>Evropskou úmluvou</w:t>
      </w:r>
      <w:r w:rsidR="00460264" w:rsidRPr="005A1E3D">
        <w:rPr>
          <w:color w:val="384575"/>
        </w:rPr>
        <w:t xml:space="preserve"> o </w:t>
      </w:r>
      <w:r w:rsidRPr="005A1E3D">
        <w:rPr>
          <w:color w:val="384575"/>
        </w:rPr>
        <w:t>lidských právech</w:t>
      </w:r>
      <w:r w:rsidR="00460264" w:rsidRPr="005A1E3D">
        <w:rPr>
          <w:color w:val="384575"/>
        </w:rPr>
        <w:t xml:space="preserve"> a </w:t>
      </w:r>
      <w:r w:rsidRPr="005A1E3D">
        <w:rPr>
          <w:color w:val="384575"/>
        </w:rPr>
        <w:t>unijními právními předpisy.</w:t>
      </w:r>
    </w:p>
    <w:p w14:paraId="01C53B7F" w14:textId="77777777" w:rsidR="00740BB9" w:rsidRPr="005A1E3D" w:rsidRDefault="00740BB9" w:rsidP="00740BB9">
      <w:pPr>
        <w:spacing w:after="120" w:line="276" w:lineRule="auto"/>
        <w:jc w:val="both"/>
        <w:rPr>
          <w:color w:val="384575"/>
        </w:rPr>
      </w:pPr>
      <w:r w:rsidRPr="005A1E3D">
        <w:rPr>
          <w:color w:val="384575"/>
        </w:rPr>
        <w:t xml:space="preserve">Soud uvedl, že toto rozhodnutí neznamená, že by rozsudek, kterým byl G. </w:t>
      </w:r>
      <w:proofErr w:type="spellStart"/>
      <w:r w:rsidRPr="005A1E3D">
        <w:rPr>
          <w:color w:val="384575"/>
        </w:rPr>
        <w:t>Dwyer</w:t>
      </w:r>
      <w:proofErr w:type="spellEnd"/>
      <w:r w:rsidRPr="005A1E3D">
        <w:rPr>
          <w:color w:val="384575"/>
        </w:rPr>
        <w:t xml:space="preserve"> odsouzen za vraždu, byl zrušen kvůli telefonním údajům, které byly získány</w:t>
      </w:r>
      <w:r w:rsidR="00460264" w:rsidRPr="005A1E3D">
        <w:rPr>
          <w:color w:val="384575"/>
        </w:rPr>
        <w:t xml:space="preserve"> a </w:t>
      </w:r>
      <w:r w:rsidRPr="005A1E3D">
        <w:rPr>
          <w:color w:val="384575"/>
        </w:rPr>
        <w:t>uchovávány</w:t>
      </w:r>
      <w:r w:rsidR="00460264" w:rsidRPr="005A1E3D">
        <w:rPr>
          <w:color w:val="384575"/>
        </w:rPr>
        <w:t xml:space="preserve"> v </w:t>
      </w:r>
      <w:r w:rsidRPr="005A1E3D">
        <w:rPr>
          <w:color w:val="384575"/>
        </w:rPr>
        <w:t>rozporu</w:t>
      </w:r>
      <w:r w:rsidR="00460264" w:rsidRPr="005A1E3D">
        <w:rPr>
          <w:color w:val="384575"/>
        </w:rPr>
        <w:t xml:space="preserve"> s </w:t>
      </w:r>
      <w:r w:rsidRPr="005A1E3D">
        <w:rPr>
          <w:color w:val="384575"/>
        </w:rPr>
        <w:t>unijními právními předpisy</w:t>
      </w:r>
      <w:r w:rsidR="00460264" w:rsidRPr="005A1E3D">
        <w:rPr>
          <w:color w:val="384575"/>
        </w:rPr>
        <w:t xml:space="preserve"> a </w:t>
      </w:r>
      <w:r w:rsidRPr="005A1E3D">
        <w:rPr>
          <w:color w:val="384575"/>
        </w:rPr>
        <w:t>využity obžalobou během soudního říze</w:t>
      </w:r>
      <w:r w:rsidR="009A148F" w:rsidRPr="005A1E3D">
        <w:rPr>
          <w:color w:val="384575"/>
        </w:rPr>
        <w:t xml:space="preserve">ní vedeného proti G. </w:t>
      </w:r>
      <w:proofErr w:type="spellStart"/>
      <w:r w:rsidR="009A148F" w:rsidRPr="005A1E3D">
        <w:rPr>
          <w:color w:val="384575"/>
        </w:rPr>
        <w:t>Dwyerovi</w:t>
      </w:r>
      <w:proofErr w:type="spellEnd"/>
      <w:r w:rsidR="009A148F" w:rsidRPr="005A1E3D">
        <w:rPr>
          <w:color w:val="384575"/>
        </w:rPr>
        <w:t xml:space="preserve">. </w:t>
      </w:r>
      <w:r w:rsidRPr="005A1E3D">
        <w:rPr>
          <w:color w:val="384575"/>
        </w:rPr>
        <w:t>Dospěl</w:t>
      </w:r>
      <w:r w:rsidR="00460264" w:rsidRPr="005A1E3D">
        <w:rPr>
          <w:color w:val="384575"/>
        </w:rPr>
        <w:t xml:space="preserve"> k </w:t>
      </w:r>
      <w:r w:rsidRPr="005A1E3D">
        <w:rPr>
          <w:color w:val="384575"/>
        </w:rPr>
        <w:t>závěru, že některá ustanovení irských předpisů</w:t>
      </w:r>
      <w:r w:rsidR="00460264" w:rsidRPr="005A1E3D">
        <w:rPr>
          <w:color w:val="384575"/>
        </w:rPr>
        <w:t xml:space="preserve"> o </w:t>
      </w:r>
      <w:r w:rsidRPr="005A1E3D">
        <w:rPr>
          <w:color w:val="384575"/>
        </w:rPr>
        <w:t>uchovávání údajů jsou</w:t>
      </w:r>
      <w:r w:rsidR="00460264" w:rsidRPr="005A1E3D">
        <w:rPr>
          <w:color w:val="384575"/>
        </w:rPr>
        <w:t xml:space="preserve"> v </w:t>
      </w:r>
      <w:r w:rsidRPr="005A1E3D">
        <w:rPr>
          <w:color w:val="384575"/>
        </w:rPr>
        <w:t>rozporu</w:t>
      </w:r>
      <w:r w:rsidR="00460264" w:rsidRPr="005A1E3D">
        <w:rPr>
          <w:color w:val="384575"/>
        </w:rPr>
        <w:t xml:space="preserve"> s </w:t>
      </w:r>
      <w:r w:rsidRPr="005A1E3D">
        <w:rPr>
          <w:color w:val="384575"/>
        </w:rPr>
        <w:t>unijním právem</w:t>
      </w:r>
      <w:r w:rsidR="00460264" w:rsidRPr="005A1E3D">
        <w:rPr>
          <w:color w:val="384575"/>
        </w:rPr>
        <w:t xml:space="preserve"> a </w:t>
      </w:r>
      <w:r w:rsidRPr="005A1E3D">
        <w:rPr>
          <w:color w:val="384575"/>
        </w:rPr>
        <w:t xml:space="preserve">rozhodnutími Evropského soudu pro lidská práva, čímž zdůraznil přednost evropského práva. </w:t>
      </w:r>
    </w:p>
    <w:p w14:paraId="06882034" w14:textId="77777777" w:rsidR="00740BB9" w:rsidRPr="005A1E3D" w:rsidRDefault="00740BB9" w:rsidP="00740BB9">
      <w:pPr>
        <w:spacing w:after="120" w:line="276" w:lineRule="auto"/>
        <w:jc w:val="both"/>
        <w:rPr>
          <w:color w:val="384575"/>
        </w:rPr>
      </w:pPr>
      <w:r w:rsidRPr="005A1E3D">
        <w:rPr>
          <w:color w:val="384575"/>
        </w:rPr>
        <w:t>Stát se po jednání</w:t>
      </w:r>
      <w:r w:rsidR="00460264" w:rsidRPr="005A1E3D">
        <w:rPr>
          <w:color w:val="384575"/>
        </w:rPr>
        <w:t xml:space="preserve"> u </w:t>
      </w:r>
      <w:r w:rsidRPr="005A1E3D">
        <w:rPr>
          <w:color w:val="384575"/>
        </w:rPr>
        <w:t>Vrchního soudu, ve kterém byl úspěšný,</w:t>
      </w:r>
      <w:r w:rsidR="00460264" w:rsidRPr="005A1E3D">
        <w:rPr>
          <w:color w:val="384575"/>
        </w:rPr>
        <w:t xml:space="preserve"> v </w:t>
      </w:r>
      <w:r w:rsidRPr="005A1E3D">
        <w:rPr>
          <w:color w:val="384575"/>
        </w:rPr>
        <w:t>roce 2018 úspěšně odvolal</w:t>
      </w:r>
      <w:r w:rsidR="00460264" w:rsidRPr="005A1E3D">
        <w:rPr>
          <w:color w:val="384575"/>
        </w:rPr>
        <w:t xml:space="preserve"> k </w:t>
      </w:r>
      <w:r w:rsidRPr="005A1E3D">
        <w:rPr>
          <w:color w:val="384575"/>
        </w:rPr>
        <w:t>Nejvyššímu soudu, ale ten poté věc postoupil do Lucemburku</w:t>
      </w:r>
      <w:r w:rsidR="00460264" w:rsidRPr="005A1E3D">
        <w:rPr>
          <w:color w:val="384575"/>
        </w:rPr>
        <w:t xml:space="preserve"> s </w:t>
      </w:r>
      <w:r w:rsidRPr="005A1E3D">
        <w:rPr>
          <w:color w:val="384575"/>
        </w:rPr>
        <w:t>odůvodněním, že se týká evropských pravidel pro uchovávání údajů.</w:t>
      </w:r>
      <w:r w:rsidRPr="005A1E3D">
        <w:rPr>
          <w:rStyle w:val="Znakapoznpodarou"/>
          <w:color w:val="384575"/>
          <w:lang w:val="en-GB"/>
        </w:rPr>
        <w:footnoteReference w:id="10"/>
      </w:r>
      <w:r w:rsidR="00460264" w:rsidRPr="005A1E3D">
        <w:rPr>
          <w:color w:val="384575"/>
        </w:rPr>
        <w:t xml:space="preserve"> V </w:t>
      </w:r>
      <w:r w:rsidRPr="005A1E3D">
        <w:rPr>
          <w:color w:val="384575"/>
        </w:rPr>
        <w:t>důsledku toho SDEU rozhodl, že rozsáhlé</w:t>
      </w:r>
      <w:r w:rsidR="00460264" w:rsidRPr="005A1E3D">
        <w:rPr>
          <w:color w:val="384575"/>
        </w:rPr>
        <w:t xml:space="preserve"> a </w:t>
      </w:r>
      <w:r w:rsidRPr="005A1E3D">
        <w:rPr>
          <w:color w:val="384575"/>
        </w:rPr>
        <w:t>nerozlišující uchovávání lokalizačních údajů</w:t>
      </w:r>
      <w:r w:rsidR="00460264" w:rsidRPr="005A1E3D">
        <w:rPr>
          <w:color w:val="384575"/>
        </w:rPr>
        <w:t xml:space="preserve"> a </w:t>
      </w:r>
      <w:r w:rsidRPr="005A1E3D">
        <w:rPr>
          <w:color w:val="384575"/>
        </w:rPr>
        <w:t>údajů</w:t>
      </w:r>
      <w:r w:rsidR="00460264" w:rsidRPr="005A1E3D">
        <w:rPr>
          <w:color w:val="384575"/>
        </w:rPr>
        <w:t xml:space="preserve"> o </w:t>
      </w:r>
      <w:r w:rsidRPr="005A1E3D">
        <w:rPr>
          <w:color w:val="384575"/>
        </w:rPr>
        <w:t>elektronickém provozu za účelem boje proti závažné trestné činnosti je unijním právem zakázáno. Vnitrostátní právní úprava, která takové uchovávání umožňuje, nemůže být vnitrostátním soudem prohlášena za protiprávní, ani její účinky nemohou být časově omezeny.</w:t>
      </w:r>
      <w:r w:rsidRPr="005A1E3D">
        <w:rPr>
          <w:rStyle w:val="Znakapoznpodarou"/>
          <w:color w:val="384575"/>
          <w:lang w:val="en-GB"/>
        </w:rPr>
        <w:footnoteReference w:id="11"/>
      </w:r>
    </w:p>
    <w:p w14:paraId="2F480CB0" w14:textId="77777777" w:rsidR="00740BB9" w:rsidRPr="005A1E3D" w:rsidRDefault="00740BB9" w:rsidP="00C008BC">
      <w:pPr>
        <w:spacing w:after="120" w:line="276" w:lineRule="auto"/>
        <w:jc w:val="both"/>
        <w:rPr>
          <w:rFonts w:cstheme="minorHAnsi"/>
          <w:color w:val="384575"/>
        </w:rPr>
      </w:pPr>
      <w:r w:rsidRPr="005A1E3D">
        <w:rPr>
          <w:color w:val="384575"/>
        </w:rPr>
        <w:t>Důkazy proto souhrnně ukazují, že význam Listiny</w:t>
      </w:r>
      <w:r w:rsidR="00460264" w:rsidRPr="005A1E3D">
        <w:rPr>
          <w:color w:val="384575"/>
        </w:rPr>
        <w:t xml:space="preserve"> v </w:t>
      </w:r>
      <w:r w:rsidRPr="005A1E3D">
        <w:rPr>
          <w:color w:val="384575"/>
        </w:rPr>
        <w:t>irské judikatuře je již nyní pozoruhodný</w:t>
      </w:r>
      <w:r w:rsidR="00460264" w:rsidRPr="005A1E3D">
        <w:rPr>
          <w:color w:val="384575"/>
        </w:rPr>
        <w:t xml:space="preserve"> v </w:t>
      </w:r>
      <w:r w:rsidRPr="005A1E3D">
        <w:rPr>
          <w:color w:val="384575"/>
        </w:rPr>
        <w:t>oblastech, jako je ochrana údajů, rodinné právo, azylové/imigrační právo, právo týkající se evropského zatýkacího rozkazu</w:t>
      </w:r>
      <w:r w:rsidR="00460264" w:rsidRPr="005A1E3D">
        <w:rPr>
          <w:color w:val="384575"/>
        </w:rPr>
        <w:t xml:space="preserve"> a </w:t>
      </w:r>
      <w:r w:rsidRPr="005A1E3D">
        <w:rPr>
          <w:color w:val="384575"/>
        </w:rPr>
        <w:t>pracovní právo</w:t>
      </w:r>
      <w:r w:rsidR="00460264" w:rsidRPr="005A1E3D">
        <w:rPr>
          <w:color w:val="384575"/>
        </w:rPr>
        <w:t xml:space="preserve"> a </w:t>
      </w:r>
      <w:r w:rsidRPr="005A1E3D">
        <w:rPr>
          <w:color w:val="384575"/>
        </w:rPr>
        <w:t>právo sociálního zabezpečení. Význam Listiny se však projevil také například</w:t>
      </w:r>
      <w:r w:rsidR="00460264" w:rsidRPr="005A1E3D">
        <w:rPr>
          <w:color w:val="384575"/>
        </w:rPr>
        <w:t xml:space="preserve"> v </w:t>
      </w:r>
      <w:r w:rsidRPr="005A1E3D">
        <w:rPr>
          <w:color w:val="384575"/>
        </w:rPr>
        <w:t>oblasti práv obchodních společností. Je jisté, že účinek Listiny bude</w:t>
      </w:r>
      <w:r w:rsidR="00460264" w:rsidRPr="005A1E3D">
        <w:rPr>
          <w:color w:val="384575"/>
        </w:rPr>
        <w:t xml:space="preserve"> i </w:t>
      </w:r>
      <w:r w:rsidRPr="005A1E3D">
        <w:rPr>
          <w:color w:val="384575"/>
        </w:rPr>
        <w:t>nadále stoupat</w:t>
      </w:r>
      <w:r w:rsidR="00460264" w:rsidRPr="005A1E3D">
        <w:rPr>
          <w:color w:val="384575"/>
        </w:rPr>
        <w:t xml:space="preserve"> s </w:t>
      </w:r>
      <w:r w:rsidRPr="005A1E3D">
        <w:rPr>
          <w:color w:val="384575"/>
        </w:rPr>
        <w:t>tím, jak se bude rozšiřovat působnost unijního práva na oblasti,</w:t>
      </w:r>
      <w:r w:rsidR="00460264" w:rsidRPr="005A1E3D">
        <w:rPr>
          <w:color w:val="384575"/>
        </w:rPr>
        <w:t xml:space="preserve"> o </w:t>
      </w:r>
      <w:r w:rsidRPr="005A1E3D">
        <w:rPr>
          <w:color w:val="384575"/>
        </w:rPr>
        <w:t>nichž se</w:t>
      </w:r>
      <w:r w:rsidR="00460264" w:rsidRPr="005A1E3D">
        <w:rPr>
          <w:color w:val="384575"/>
        </w:rPr>
        <w:t xml:space="preserve"> v </w:t>
      </w:r>
      <w:r w:rsidRPr="005A1E3D">
        <w:rPr>
          <w:color w:val="384575"/>
        </w:rPr>
        <w:t>současné době uvažuje.</w:t>
      </w:r>
      <w:r w:rsidRPr="005A1E3D">
        <w:rPr>
          <w:rStyle w:val="Znakapoznpodarou"/>
          <w:color w:val="384575"/>
          <w:lang w:val="en-GB"/>
        </w:rPr>
        <w:footnoteReference w:id="12"/>
      </w:r>
      <w:r w:rsidRPr="005A1E3D">
        <w:rPr>
          <w:color w:val="384575"/>
        </w:rPr>
        <w:t xml:space="preserve">  Proto je pravda, že irští advokáti využívají Listinu na podporu svých stanovisek ve věcech týkajících se unijního práva stále častěji, protože si více uvědomují její možnosti podpořit jejich stanoviska</w:t>
      </w:r>
      <w:r w:rsidR="00460264" w:rsidRPr="005A1E3D">
        <w:rPr>
          <w:color w:val="384575"/>
        </w:rPr>
        <w:t xml:space="preserve"> a </w:t>
      </w:r>
      <w:r w:rsidRPr="005A1E3D">
        <w:rPr>
          <w:color w:val="384575"/>
        </w:rPr>
        <w:t>ovlivnit soudní řízení. Pokud tento model přetrvá, možná se soudy budou postupně seznamovat také</w:t>
      </w:r>
      <w:r w:rsidR="00460264" w:rsidRPr="005A1E3D">
        <w:rPr>
          <w:color w:val="384575"/>
        </w:rPr>
        <w:t xml:space="preserve"> s </w:t>
      </w:r>
      <w:r w:rsidRPr="005A1E3D">
        <w:rPr>
          <w:color w:val="384575"/>
        </w:rPr>
        <w:t>Evropskou úmluvou</w:t>
      </w:r>
      <w:r w:rsidR="00460264" w:rsidRPr="005A1E3D">
        <w:rPr>
          <w:color w:val="384575"/>
        </w:rPr>
        <w:t xml:space="preserve"> o </w:t>
      </w:r>
      <w:r w:rsidRPr="005A1E3D">
        <w:rPr>
          <w:color w:val="384575"/>
        </w:rPr>
        <w:t>lidských právech, jak to nakonec udělaly</w:t>
      </w:r>
      <w:r w:rsidR="00460264" w:rsidRPr="005A1E3D">
        <w:rPr>
          <w:color w:val="384575"/>
        </w:rPr>
        <w:t xml:space="preserve"> s </w:t>
      </w:r>
      <w:r w:rsidRPr="005A1E3D">
        <w:rPr>
          <w:color w:val="384575"/>
        </w:rPr>
        <w:t>Listinou, aby získaly další znalosti</w:t>
      </w:r>
      <w:r w:rsidR="00460264" w:rsidRPr="005A1E3D">
        <w:rPr>
          <w:color w:val="384575"/>
        </w:rPr>
        <w:t xml:space="preserve"> </w:t>
      </w:r>
      <w:r w:rsidR="00460264" w:rsidRPr="005A1E3D">
        <w:rPr>
          <w:color w:val="384575"/>
        </w:rPr>
        <w:lastRenderedPageBreak/>
        <w:t>o </w:t>
      </w:r>
      <w:r w:rsidRPr="005A1E3D">
        <w:rPr>
          <w:color w:val="384575"/>
        </w:rPr>
        <w:t>použitelnosti Listiny, souvislostech,</w:t>
      </w:r>
      <w:r w:rsidR="00460264" w:rsidRPr="005A1E3D">
        <w:rPr>
          <w:color w:val="384575"/>
        </w:rPr>
        <w:t xml:space="preserve"> v </w:t>
      </w:r>
      <w:r w:rsidRPr="005A1E3D">
        <w:rPr>
          <w:color w:val="384575"/>
        </w:rPr>
        <w:t>nichž ji lze použít,</w:t>
      </w:r>
      <w:r w:rsidR="00460264" w:rsidRPr="005A1E3D">
        <w:rPr>
          <w:color w:val="384575"/>
        </w:rPr>
        <w:t xml:space="preserve"> a </w:t>
      </w:r>
      <w:r w:rsidRPr="005A1E3D">
        <w:rPr>
          <w:color w:val="384575"/>
        </w:rPr>
        <w:t>významu jednotlivých práv pro řešení sporů</w:t>
      </w:r>
      <w:r w:rsidR="00460264" w:rsidRPr="005A1E3D">
        <w:rPr>
          <w:color w:val="384575"/>
        </w:rPr>
        <w:t xml:space="preserve"> v </w:t>
      </w:r>
      <w:r w:rsidRPr="005A1E3D">
        <w:rPr>
          <w:color w:val="384575"/>
        </w:rPr>
        <w:t>irském právu.</w:t>
      </w:r>
      <w:r w:rsidRPr="005A1E3D">
        <w:rPr>
          <w:rStyle w:val="Znakapoznpodarou"/>
          <w:color w:val="384575"/>
          <w:lang w:val="en-GB"/>
        </w:rPr>
        <w:footnoteReference w:id="13"/>
      </w:r>
    </w:p>
    <w:sectPr w:rsidR="00740BB9" w:rsidRPr="005A1E3D" w:rsidSect="00ED6967">
      <w:footerReference w:type="even" r:id="rId37"/>
      <w:footerReference w:type="default" r:id="rId38"/>
      <w:pgSz w:w="11906" w:h="16838"/>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A688A36" w14:textId="77777777" w:rsidR="00AF27BE" w:rsidRDefault="00AF27BE" w:rsidP="00EC2273">
      <w:r>
        <w:separator/>
      </w:r>
    </w:p>
  </w:endnote>
  <w:endnote w:type="continuationSeparator" w:id="0">
    <w:p w14:paraId="6A824330" w14:textId="77777777" w:rsidR="00AF27BE" w:rsidRDefault="00AF27BE" w:rsidP="00EC227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inherit">
    <w:altName w:val="Cambria"/>
    <w:panose1 w:val="00000000000000000000"/>
    <w:charset w:val="00"/>
    <w:family w:val="roman"/>
    <w:notTrueType/>
    <w:pitch w:val="default"/>
  </w:font>
  <w:font w:name="Calibri">
    <w:panose1 w:val="020F0502020204030204"/>
    <w:charset w:val="EE"/>
    <w:family w:val="swiss"/>
    <w:pitch w:val="variable"/>
    <w:sig w:usb0="E4002EFF" w:usb1="C2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Calibri Light">
    <w:panose1 w:val="020F0302020204030204"/>
    <w:charset w:val="EE"/>
    <w:family w:val="swiss"/>
    <w:pitch w:val="variable"/>
    <w:sig w:usb0="E4002EFF" w:usb1="C200247B" w:usb2="00000009" w:usb3="00000000" w:csb0="000001FF" w:csb1="00000000"/>
  </w:font>
  <w:font w:name="Aptos">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slostrnky"/>
      </w:rPr>
      <w:id w:val="-589157306"/>
      <w:docPartObj>
        <w:docPartGallery w:val="Page Numbers (Bottom of Page)"/>
        <w:docPartUnique/>
      </w:docPartObj>
    </w:sdtPr>
    <w:sdtContent>
      <w:p w14:paraId="78F5A16A" w14:textId="77777777" w:rsidR="0048041D" w:rsidRDefault="0048041D" w:rsidP="00975BA7">
        <w:pPr>
          <w:pStyle w:val="Zpat"/>
          <w:framePr w:wrap="none" w:vAnchor="text" w:hAnchor="margin" w:xAlign="right" w:y="1"/>
          <w:rPr>
            <w:rStyle w:val="slostrnky"/>
          </w:rPr>
        </w:pPr>
        <w:r>
          <w:rPr>
            <w:rStyle w:val="slostrnky"/>
          </w:rPr>
          <w:fldChar w:fldCharType="begin"/>
        </w:r>
        <w:r>
          <w:rPr>
            <w:rStyle w:val="slostrnky"/>
          </w:rPr>
          <w:instrText xml:space="preserve"> PAGE </w:instrText>
        </w:r>
        <w:r>
          <w:rPr>
            <w:rStyle w:val="slostrnky"/>
          </w:rPr>
          <w:fldChar w:fldCharType="end"/>
        </w:r>
      </w:p>
    </w:sdtContent>
  </w:sdt>
  <w:p w14:paraId="023E506E" w14:textId="77777777" w:rsidR="0048041D" w:rsidRDefault="0048041D" w:rsidP="00101A66">
    <w:pPr>
      <w:pStyle w:val="Zpat"/>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slostrnky"/>
      </w:rPr>
      <w:id w:val="604226813"/>
      <w:docPartObj>
        <w:docPartGallery w:val="Page Numbers (Bottom of Page)"/>
        <w:docPartUnique/>
      </w:docPartObj>
    </w:sdtPr>
    <w:sdtContent>
      <w:p w14:paraId="3C278EF3" w14:textId="77777777" w:rsidR="0048041D" w:rsidRDefault="0048041D" w:rsidP="00975BA7">
        <w:pPr>
          <w:pStyle w:val="Zpat"/>
          <w:framePr w:wrap="none" w:vAnchor="text" w:hAnchor="margin" w:xAlign="right" w:y="1"/>
          <w:rPr>
            <w:rStyle w:val="slostrnky"/>
          </w:rPr>
        </w:pPr>
        <w:r>
          <w:rPr>
            <w:rStyle w:val="slostrnky"/>
          </w:rPr>
          <w:fldChar w:fldCharType="begin"/>
        </w:r>
        <w:r>
          <w:rPr>
            <w:rStyle w:val="slostrnky"/>
          </w:rPr>
          <w:instrText xml:space="preserve"> PAGE </w:instrText>
        </w:r>
        <w:r>
          <w:rPr>
            <w:rStyle w:val="slostrnky"/>
          </w:rPr>
          <w:fldChar w:fldCharType="separate"/>
        </w:r>
        <w:r w:rsidR="009A148F">
          <w:rPr>
            <w:rStyle w:val="slostrnky"/>
            <w:noProof/>
          </w:rPr>
          <w:t>38</w:t>
        </w:r>
        <w:r>
          <w:rPr>
            <w:rStyle w:val="slostrnky"/>
          </w:rPr>
          <w:fldChar w:fldCharType="end"/>
        </w:r>
      </w:p>
    </w:sdtContent>
  </w:sdt>
  <w:p w14:paraId="54A3E1AF" w14:textId="77777777" w:rsidR="0048041D" w:rsidRDefault="0048041D" w:rsidP="00101A66">
    <w:pPr>
      <w:pStyle w:val="Zpat"/>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4C3A75B" w14:textId="77777777" w:rsidR="00AF27BE" w:rsidRDefault="00AF27BE" w:rsidP="00EC2273">
      <w:r>
        <w:separator/>
      </w:r>
    </w:p>
  </w:footnote>
  <w:footnote w:type="continuationSeparator" w:id="0">
    <w:p w14:paraId="7F1066D4" w14:textId="77777777" w:rsidR="00AF27BE" w:rsidRDefault="00AF27BE" w:rsidP="00EC2273">
      <w:r>
        <w:continuationSeparator/>
      </w:r>
    </w:p>
  </w:footnote>
  <w:footnote w:id="1">
    <w:p w14:paraId="7B9D92AA" w14:textId="77777777" w:rsidR="0048041D" w:rsidRPr="009E7BEF" w:rsidRDefault="0048041D" w:rsidP="00740BB9">
      <w:pPr>
        <w:pStyle w:val="Textpoznpodarou"/>
      </w:pPr>
      <w:r>
        <w:rPr>
          <w:rStyle w:val="Znakapoznpodarou"/>
        </w:rPr>
        <w:footnoteRef/>
      </w:r>
      <w:r>
        <w:t xml:space="preserve"> Dr Noelle Higgins, International Human Rights Law and Fatal Foetal Abnormalities, Presentation to the Citizens’ Assembly, (Mezinárodní právo lidských práv a fatální vady plodu, prezentace na shromáždění občanů) 7. ledna 2017, s. 4.</w:t>
      </w:r>
    </w:p>
  </w:footnote>
  <w:footnote w:id="2">
    <w:p w14:paraId="67106B75" w14:textId="77777777" w:rsidR="0048041D" w:rsidRDefault="0048041D" w:rsidP="00740BB9">
      <w:pPr>
        <w:pStyle w:val="Textpoznpodarou"/>
      </w:pPr>
      <w:r>
        <w:rPr>
          <w:rStyle w:val="Znakapoznpodarou"/>
        </w:rPr>
        <w:footnoteRef/>
      </w:r>
      <w:r>
        <w:t xml:space="preserve"> Sejla Imamovic, The Court of Justice of the EU as a Human Rights Adjudicator in the Area of Freedom, Security and Justice (Soudní dvůr EU jako rozhodce v oblasti lidských práv v prostoru svobody, bezpečnosti a práva), studie v rámci programu Jean Monnet, studie: 05/2017, s.4.</w:t>
      </w:r>
    </w:p>
  </w:footnote>
  <w:footnote w:id="3">
    <w:p w14:paraId="7BF75053" w14:textId="77777777" w:rsidR="0048041D" w:rsidRDefault="0048041D" w:rsidP="00740BB9">
      <w:pPr>
        <w:pStyle w:val="Textpoznpodarou"/>
      </w:pPr>
      <w:r>
        <w:rPr>
          <w:rStyle w:val="Znakapoznpodarou"/>
        </w:rPr>
        <w:footnoteRef/>
      </w:r>
      <w:r>
        <w:t xml:space="preserve"> Kingston, Suzanne, a Liam Thornton. A Report on the Application of the European Convention on Human Rights Act 2003 and the European Charter of Fundamental Rights: Evaluation and Review (Zpráva o uplatňování zákona o Evropské úmluvě o lidských právech z roku 2003 a Listiny základních práv Evropské unie: Hodnocení a přezkum). Law Society of Ireland, červenec 2015, s. 117</w:t>
      </w:r>
    </w:p>
  </w:footnote>
  <w:footnote w:id="4">
    <w:p w14:paraId="59D184C6" w14:textId="77777777" w:rsidR="0048041D" w:rsidRDefault="0048041D" w:rsidP="00740BB9">
      <w:pPr>
        <w:pStyle w:val="Textpoznpodarou"/>
      </w:pPr>
      <w:r>
        <w:rPr>
          <w:rStyle w:val="Znakapoznpodarou"/>
        </w:rPr>
        <w:footnoteRef/>
      </w:r>
      <w:r>
        <w:t xml:space="preserve"> </w:t>
      </w:r>
      <w:hyperlink r:id="rId1" w:history="1">
        <w:r>
          <w:rPr>
            <w:rStyle w:val="Hypertextovodkaz"/>
          </w:rPr>
          <w:t>S.Y.</w:t>
        </w:r>
      </w:hyperlink>
      <w:hyperlink r:id="rId2" w:history="1">
        <w:r>
          <w:rPr>
            <w:rStyle w:val="Hypertextovodkaz"/>
          </w:rPr>
          <w:t xml:space="preserve"> (Nezletilý žalovaný svojí přítelkyní Aoife Dare) proti The Minister for Children a ostatní</w:t>
        </w:r>
      </w:hyperlink>
      <w:r>
        <w:t>.</w:t>
      </w:r>
    </w:p>
  </w:footnote>
  <w:footnote w:id="5">
    <w:p w14:paraId="55DF8D40" w14:textId="77777777" w:rsidR="0048041D" w:rsidRDefault="0048041D" w:rsidP="00740BB9">
      <w:pPr>
        <w:pStyle w:val="Textpoznpodarou"/>
      </w:pPr>
      <w:r>
        <w:rPr>
          <w:rStyle w:val="Znakapoznpodarou"/>
        </w:rPr>
        <w:footnoteRef/>
      </w:r>
      <w:r>
        <w:t xml:space="preserve"> </w:t>
      </w:r>
      <w:hyperlink r:id="rId3" w:anchor="view=fitH" w:history="1">
        <w:r>
          <w:rPr>
            <w:rStyle w:val="Hypertextovodkaz"/>
          </w:rPr>
          <w:t xml:space="preserve">A.O. Proti Minister for </w:t>
        </w:r>
        <w:proofErr w:type="gramStart"/>
        <w:r>
          <w:rPr>
            <w:rStyle w:val="Hypertextovodkaz"/>
          </w:rPr>
          <w:t>Justice ,Equality</w:t>
        </w:r>
        <w:proofErr w:type="gramEnd"/>
        <w:r>
          <w:rPr>
            <w:rStyle w:val="Hypertextovodkaz"/>
          </w:rPr>
          <w:t xml:space="preserve"> and Law Reform (č. 3) [2012] IEHC 104.</w:t>
        </w:r>
      </w:hyperlink>
    </w:p>
  </w:footnote>
  <w:footnote w:id="6">
    <w:p w14:paraId="7C3AAA9C" w14:textId="77777777" w:rsidR="0048041D" w:rsidRDefault="0048041D" w:rsidP="00740BB9">
      <w:pPr>
        <w:pStyle w:val="Textpoznpodarou"/>
      </w:pPr>
      <w:r>
        <w:rPr>
          <w:rStyle w:val="Znakapoznpodarou"/>
        </w:rPr>
        <w:footnoteRef/>
      </w:r>
      <w:r>
        <w:t xml:space="preserve"> Tamtéž body 31–32.</w:t>
      </w:r>
    </w:p>
  </w:footnote>
  <w:footnote w:id="7">
    <w:p w14:paraId="71B0251F" w14:textId="77777777" w:rsidR="0048041D" w:rsidRDefault="0048041D" w:rsidP="00740BB9">
      <w:pPr>
        <w:pStyle w:val="Textpoznpodarou"/>
      </w:pPr>
      <w:r>
        <w:rPr>
          <w:rStyle w:val="Znakapoznpodarou"/>
        </w:rPr>
        <w:footnoteRef/>
      </w:r>
      <w:r>
        <w:t xml:space="preserve"> </w:t>
      </w:r>
      <w:hyperlink r:id="rId4" w:history="1">
        <w:r>
          <w:rPr>
            <w:rStyle w:val="Hypertextovodkaz"/>
          </w:rPr>
          <w:t>K.I. a ostatní proti Minister for Justice and Equality a ostatní [2014] IEHC 83</w:t>
        </w:r>
      </w:hyperlink>
    </w:p>
  </w:footnote>
  <w:footnote w:id="8">
    <w:p w14:paraId="0D8CF93F" w14:textId="77777777" w:rsidR="0048041D" w:rsidRDefault="0048041D" w:rsidP="00740BB9">
      <w:pPr>
        <w:pStyle w:val="Textpoznpodarou"/>
      </w:pPr>
      <w:r>
        <w:rPr>
          <w:rStyle w:val="Znakapoznpodarou"/>
        </w:rPr>
        <w:footnoteRef/>
      </w:r>
      <w:r>
        <w:t xml:space="preserve"> Pokud jde o rozhodnutí ve věci </w:t>
      </w:r>
      <w:r w:rsidRPr="009A148F">
        <w:rPr>
          <w:i/>
        </w:rPr>
        <w:t>Zambrano</w:t>
      </w:r>
      <w:r>
        <w:t xml:space="preserve">, viz: </w:t>
      </w:r>
      <w:hyperlink r:id="rId5" w:history="1">
        <w:r>
          <w:rPr>
            <w:rStyle w:val="Hypertextovodkaz"/>
          </w:rPr>
          <w:t>European Citizenship and Fundamental rights:</w:t>
        </w:r>
      </w:hyperlink>
      <w:hyperlink r:id="rId6" w:history="1">
        <w:r>
          <w:rPr>
            <w:rStyle w:val="Hypertextovodkaz"/>
          </w:rPr>
          <w:t xml:space="preserve"> The Zambrano Case (Evropská občanská a základní práva: Věc Zambrano)</w:t>
        </w:r>
      </w:hyperlink>
      <w:r>
        <w:t>.</w:t>
      </w:r>
    </w:p>
  </w:footnote>
  <w:footnote w:id="9">
    <w:p w14:paraId="74429769" w14:textId="77777777" w:rsidR="0048041D" w:rsidRDefault="0048041D" w:rsidP="00740BB9">
      <w:pPr>
        <w:pStyle w:val="Textpoznpodarou"/>
      </w:pPr>
      <w:r>
        <w:rPr>
          <w:rStyle w:val="Znakapoznpodarou"/>
        </w:rPr>
        <w:footnoteRef/>
      </w:r>
      <w:r>
        <w:t xml:space="preserve"> </w:t>
      </w:r>
      <w:hyperlink r:id="rId7" w:history="1">
        <w:r>
          <w:rPr>
            <w:rStyle w:val="Hypertextovodkaz"/>
          </w:rPr>
          <w:t>Dwyer v. Commissioner of an Garda Síochána, 351/2015, 6, prosince 2018</w:t>
        </w:r>
      </w:hyperlink>
      <w:r>
        <w:t>.</w:t>
      </w:r>
    </w:p>
  </w:footnote>
  <w:footnote w:id="10">
    <w:p w14:paraId="39B799D2" w14:textId="77777777" w:rsidR="0048041D" w:rsidRDefault="0048041D" w:rsidP="00740BB9">
      <w:pPr>
        <w:pStyle w:val="Textpoznpodarou"/>
      </w:pPr>
      <w:r>
        <w:rPr>
          <w:rStyle w:val="Znakapoznpodarou"/>
        </w:rPr>
        <w:footnoteRef/>
      </w:r>
      <w:r>
        <w:t xml:space="preserve"> C-140/</w:t>
      </w:r>
      <w:proofErr w:type="gramStart"/>
      <w:r>
        <w:t>20 – 1</w:t>
      </w:r>
      <w:proofErr w:type="gramEnd"/>
      <w:r>
        <w:t xml:space="preserve">, viz rovněž: </w:t>
      </w:r>
      <w:hyperlink r:id="rId8" w:history="1">
        <w:r>
          <w:rPr>
            <w:rStyle w:val="Hypertextovodkaz"/>
          </w:rPr>
          <w:t>showPdf.jsf (europa.eu)</w:t>
        </w:r>
      </w:hyperlink>
    </w:p>
  </w:footnote>
  <w:footnote w:id="11">
    <w:p w14:paraId="5394DEBC" w14:textId="77777777" w:rsidR="0048041D" w:rsidRDefault="0048041D" w:rsidP="00740BB9">
      <w:pPr>
        <w:pStyle w:val="Textpoznpodarou"/>
      </w:pPr>
      <w:r>
        <w:rPr>
          <w:rStyle w:val="Znakapoznpodarou"/>
        </w:rPr>
        <w:footnoteRef/>
      </w:r>
      <w:r>
        <w:t xml:space="preserve"> </w:t>
      </w:r>
      <w:hyperlink r:id="rId9" w:history="1">
        <w:r>
          <w:rPr>
            <w:rStyle w:val="Hypertextovodkaz"/>
          </w:rPr>
          <w:t>C-140/20</w:t>
        </w:r>
      </w:hyperlink>
      <w:r>
        <w:t>.</w:t>
      </w:r>
    </w:p>
  </w:footnote>
  <w:footnote w:id="12">
    <w:p w14:paraId="1131BD26" w14:textId="77777777" w:rsidR="0048041D" w:rsidRDefault="0048041D" w:rsidP="00740BB9">
      <w:pPr>
        <w:pStyle w:val="Textpoznpodarou"/>
      </w:pPr>
      <w:r>
        <w:rPr>
          <w:rStyle w:val="Znakapoznpodarou"/>
        </w:rPr>
        <w:footnoteRef/>
      </w:r>
      <w:r>
        <w:t xml:space="preserve"> Viz poznámka č. 6, Kingston and Thornton. </w:t>
      </w:r>
    </w:p>
  </w:footnote>
  <w:footnote w:id="13">
    <w:p w14:paraId="3C320F08" w14:textId="77777777" w:rsidR="0048041D" w:rsidRDefault="0048041D" w:rsidP="00740BB9">
      <w:pPr>
        <w:pStyle w:val="Textpoznpodarou"/>
      </w:pPr>
      <w:r>
        <w:rPr>
          <w:rStyle w:val="Znakapoznpodarou"/>
        </w:rPr>
        <w:footnoteRef/>
      </w:r>
      <w:r>
        <w:t xml:space="preserve"> Gráinne de Búrca, The Domestic Impact of the EU Charter of Fundamental Rights (Vnitrostátní dopad Listiny základních práv EU) (2013) 49 Irish Jurist, s.63</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752FB2"/>
    <w:multiLevelType w:val="multilevel"/>
    <w:tmpl w:val="EBA6D5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175203E"/>
    <w:multiLevelType w:val="multilevel"/>
    <w:tmpl w:val="3904AF4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029D0121"/>
    <w:multiLevelType w:val="hybridMultilevel"/>
    <w:tmpl w:val="FEDCE9EA"/>
    <w:lvl w:ilvl="0" w:tplc="04030001">
      <w:start w:val="1"/>
      <w:numFmt w:val="bullet"/>
      <w:lvlText w:val=""/>
      <w:lvlJc w:val="left"/>
      <w:pPr>
        <w:ind w:left="720" w:hanging="360"/>
      </w:pPr>
      <w:rPr>
        <w:rFonts w:ascii="Symbol" w:hAnsi="Symbol" w:hint="default"/>
      </w:rPr>
    </w:lvl>
    <w:lvl w:ilvl="1" w:tplc="04030003" w:tentative="1">
      <w:start w:val="1"/>
      <w:numFmt w:val="bullet"/>
      <w:lvlText w:val="o"/>
      <w:lvlJc w:val="left"/>
      <w:pPr>
        <w:ind w:left="1440" w:hanging="360"/>
      </w:pPr>
      <w:rPr>
        <w:rFonts w:ascii="Courier New" w:hAnsi="Courier New" w:cs="Courier New" w:hint="default"/>
      </w:rPr>
    </w:lvl>
    <w:lvl w:ilvl="2" w:tplc="04030005" w:tentative="1">
      <w:start w:val="1"/>
      <w:numFmt w:val="bullet"/>
      <w:lvlText w:val=""/>
      <w:lvlJc w:val="left"/>
      <w:pPr>
        <w:ind w:left="2160" w:hanging="360"/>
      </w:pPr>
      <w:rPr>
        <w:rFonts w:ascii="Wingdings" w:hAnsi="Wingdings" w:hint="default"/>
      </w:rPr>
    </w:lvl>
    <w:lvl w:ilvl="3" w:tplc="04030001" w:tentative="1">
      <w:start w:val="1"/>
      <w:numFmt w:val="bullet"/>
      <w:lvlText w:val=""/>
      <w:lvlJc w:val="left"/>
      <w:pPr>
        <w:ind w:left="2880" w:hanging="360"/>
      </w:pPr>
      <w:rPr>
        <w:rFonts w:ascii="Symbol" w:hAnsi="Symbol" w:hint="default"/>
      </w:rPr>
    </w:lvl>
    <w:lvl w:ilvl="4" w:tplc="04030003" w:tentative="1">
      <w:start w:val="1"/>
      <w:numFmt w:val="bullet"/>
      <w:lvlText w:val="o"/>
      <w:lvlJc w:val="left"/>
      <w:pPr>
        <w:ind w:left="3600" w:hanging="360"/>
      </w:pPr>
      <w:rPr>
        <w:rFonts w:ascii="Courier New" w:hAnsi="Courier New" w:cs="Courier New" w:hint="default"/>
      </w:rPr>
    </w:lvl>
    <w:lvl w:ilvl="5" w:tplc="04030005" w:tentative="1">
      <w:start w:val="1"/>
      <w:numFmt w:val="bullet"/>
      <w:lvlText w:val=""/>
      <w:lvlJc w:val="left"/>
      <w:pPr>
        <w:ind w:left="4320" w:hanging="360"/>
      </w:pPr>
      <w:rPr>
        <w:rFonts w:ascii="Wingdings" w:hAnsi="Wingdings" w:hint="default"/>
      </w:rPr>
    </w:lvl>
    <w:lvl w:ilvl="6" w:tplc="04030001" w:tentative="1">
      <w:start w:val="1"/>
      <w:numFmt w:val="bullet"/>
      <w:lvlText w:val=""/>
      <w:lvlJc w:val="left"/>
      <w:pPr>
        <w:ind w:left="5040" w:hanging="360"/>
      </w:pPr>
      <w:rPr>
        <w:rFonts w:ascii="Symbol" w:hAnsi="Symbol" w:hint="default"/>
      </w:rPr>
    </w:lvl>
    <w:lvl w:ilvl="7" w:tplc="04030003" w:tentative="1">
      <w:start w:val="1"/>
      <w:numFmt w:val="bullet"/>
      <w:lvlText w:val="o"/>
      <w:lvlJc w:val="left"/>
      <w:pPr>
        <w:ind w:left="5760" w:hanging="360"/>
      </w:pPr>
      <w:rPr>
        <w:rFonts w:ascii="Courier New" w:hAnsi="Courier New" w:cs="Courier New" w:hint="default"/>
      </w:rPr>
    </w:lvl>
    <w:lvl w:ilvl="8" w:tplc="04030005" w:tentative="1">
      <w:start w:val="1"/>
      <w:numFmt w:val="bullet"/>
      <w:lvlText w:val=""/>
      <w:lvlJc w:val="left"/>
      <w:pPr>
        <w:ind w:left="6480" w:hanging="360"/>
      </w:pPr>
      <w:rPr>
        <w:rFonts w:ascii="Wingdings" w:hAnsi="Wingdings" w:hint="default"/>
      </w:rPr>
    </w:lvl>
  </w:abstractNum>
  <w:abstractNum w:abstractNumId="3" w15:restartNumberingAfterBreak="0">
    <w:nsid w:val="03DB1723"/>
    <w:multiLevelType w:val="hybridMultilevel"/>
    <w:tmpl w:val="C2C47656"/>
    <w:lvl w:ilvl="0" w:tplc="05BA141C">
      <w:start w:val="1"/>
      <w:numFmt w:val="upperLetter"/>
      <w:lvlText w:val="%1."/>
      <w:lvlJc w:val="left"/>
      <w:pPr>
        <w:ind w:left="720" w:hanging="360"/>
      </w:pPr>
      <w:rPr>
        <w:rFonts w:hint="default"/>
        <w:b/>
      </w:rPr>
    </w:lvl>
    <w:lvl w:ilvl="1" w:tplc="04030019" w:tentative="1">
      <w:start w:val="1"/>
      <w:numFmt w:val="lowerLetter"/>
      <w:lvlText w:val="%2."/>
      <w:lvlJc w:val="left"/>
      <w:pPr>
        <w:ind w:left="1440" w:hanging="360"/>
      </w:pPr>
    </w:lvl>
    <w:lvl w:ilvl="2" w:tplc="0403001B" w:tentative="1">
      <w:start w:val="1"/>
      <w:numFmt w:val="lowerRoman"/>
      <w:lvlText w:val="%3."/>
      <w:lvlJc w:val="right"/>
      <w:pPr>
        <w:ind w:left="2160" w:hanging="180"/>
      </w:pPr>
    </w:lvl>
    <w:lvl w:ilvl="3" w:tplc="0403000F" w:tentative="1">
      <w:start w:val="1"/>
      <w:numFmt w:val="decimal"/>
      <w:lvlText w:val="%4."/>
      <w:lvlJc w:val="left"/>
      <w:pPr>
        <w:ind w:left="2880" w:hanging="360"/>
      </w:pPr>
    </w:lvl>
    <w:lvl w:ilvl="4" w:tplc="04030019" w:tentative="1">
      <w:start w:val="1"/>
      <w:numFmt w:val="lowerLetter"/>
      <w:lvlText w:val="%5."/>
      <w:lvlJc w:val="left"/>
      <w:pPr>
        <w:ind w:left="3600" w:hanging="360"/>
      </w:pPr>
    </w:lvl>
    <w:lvl w:ilvl="5" w:tplc="0403001B" w:tentative="1">
      <w:start w:val="1"/>
      <w:numFmt w:val="lowerRoman"/>
      <w:lvlText w:val="%6."/>
      <w:lvlJc w:val="right"/>
      <w:pPr>
        <w:ind w:left="4320" w:hanging="180"/>
      </w:pPr>
    </w:lvl>
    <w:lvl w:ilvl="6" w:tplc="0403000F" w:tentative="1">
      <w:start w:val="1"/>
      <w:numFmt w:val="decimal"/>
      <w:lvlText w:val="%7."/>
      <w:lvlJc w:val="left"/>
      <w:pPr>
        <w:ind w:left="5040" w:hanging="360"/>
      </w:pPr>
    </w:lvl>
    <w:lvl w:ilvl="7" w:tplc="04030019" w:tentative="1">
      <w:start w:val="1"/>
      <w:numFmt w:val="lowerLetter"/>
      <w:lvlText w:val="%8."/>
      <w:lvlJc w:val="left"/>
      <w:pPr>
        <w:ind w:left="5760" w:hanging="360"/>
      </w:pPr>
    </w:lvl>
    <w:lvl w:ilvl="8" w:tplc="0403001B" w:tentative="1">
      <w:start w:val="1"/>
      <w:numFmt w:val="lowerRoman"/>
      <w:lvlText w:val="%9."/>
      <w:lvlJc w:val="right"/>
      <w:pPr>
        <w:ind w:left="6480" w:hanging="180"/>
      </w:pPr>
    </w:lvl>
  </w:abstractNum>
  <w:abstractNum w:abstractNumId="4" w15:restartNumberingAfterBreak="0">
    <w:nsid w:val="07312090"/>
    <w:multiLevelType w:val="multilevel"/>
    <w:tmpl w:val="CCC671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073A5A1B"/>
    <w:multiLevelType w:val="multilevel"/>
    <w:tmpl w:val="1D7C86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075F75B2"/>
    <w:multiLevelType w:val="multilevel"/>
    <w:tmpl w:val="13586B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08DD303B"/>
    <w:multiLevelType w:val="multilevel"/>
    <w:tmpl w:val="0E344D2A"/>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0BD1142D"/>
    <w:multiLevelType w:val="multilevel"/>
    <w:tmpl w:val="833AAF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152D160B"/>
    <w:multiLevelType w:val="multilevel"/>
    <w:tmpl w:val="C00AE0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184B2ADC"/>
    <w:multiLevelType w:val="multilevel"/>
    <w:tmpl w:val="F7B698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1B9318F3"/>
    <w:multiLevelType w:val="multilevel"/>
    <w:tmpl w:val="97CA93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1D7A7818"/>
    <w:multiLevelType w:val="hybridMultilevel"/>
    <w:tmpl w:val="585ADD0A"/>
    <w:lvl w:ilvl="0" w:tplc="040A0011">
      <w:start w:val="1"/>
      <w:numFmt w:val="decimal"/>
      <w:lvlText w:val="%1)"/>
      <w:lvlJc w:val="left"/>
      <w:pPr>
        <w:ind w:left="720" w:hanging="360"/>
      </w:pPr>
      <w:rPr>
        <w:rFonts w:hint="default"/>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13" w15:restartNumberingAfterBreak="0">
    <w:nsid w:val="1DAF6952"/>
    <w:multiLevelType w:val="multilevel"/>
    <w:tmpl w:val="6F080C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1E3334BA"/>
    <w:multiLevelType w:val="multilevel"/>
    <w:tmpl w:val="C1B01FD0"/>
    <w:lvl w:ilvl="0">
      <w:start w:val="1"/>
      <w:numFmt w:val="bullet"/>
      <w:lvlText w:val=""/>
      <w:lvlJc w:val="left"/>
      <w:pPr>
        <w:tabs>
          <w:tab w:val="num" w:pos="720"/>
        </w:tabs>
        <w:ind w:left="720" w:hanging="360"/>
      </w:pPr>
      <w:rPr>
        <w:rFonts w:ascii="Symbol" w:hAnsi="Symbol" w:hint="default"/>
        <w:sz w:val="20"/>
      </w:rPr>
    </w:lvl>
    <w:lvl w:ilvl="1">
      <w:start w:val="6"/>
      <w:numFmt w:val="bullet"/>
      <w:lvlText w:val="-"/>
      <w:lvlJc w:val="left"/>
      <w:pPr>
        <w:ind w:left="1440" w:hanging="360"/>
      </w:pPr>
      <w:rPr>
        <w:rFonts w:ascii="inherit" w:eastAsia="Times New Roman" w:hAnsi="inherit" w:cs="Courier New" w:hint="default"/>
      </w:rPr>
    </w:lvl>
    <w:lvl w:ilvl="2">
      <w:start w:val="1"/>
      <w:numFmt w:val="decimal"/>
      <w:lvlText w:val="%3."/>
      <w:lvlJc w:val="left"/>
      <w:pPr>
        <w:ind w:left="2160" w:hanging="360"/>
      </w:pPr>
      <w:rPr>
        <w:rFonts w:hint="default"/>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 w15:restartNumberingAfterBreak="0">
    <w:nsid w:val="1FDA289B"/>
    <w:multiLevelType w:val="multilevel"/>
    <w:tmpl w:val="D5EE94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2120742E"/>
    <w:multiLevelType w:val="multilevel"/>
    <w:tmpl w:val="A3A4372E"/>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15:restartNumberingAfterBreak="0">
    <w:nsid w:val="2DDF0BF9"/>
    <w:multiLevelType w:val="hybridMultilevel"/>
    <w:tmpl w:val="DFD213C8"/>
    <w:lvl w:ilvl="0" w:tplc="040A000F">
      <w:start w:val="1"/>
      <w:numFmt w:val="decimal"/>
      <w:lvlText w:val="%1."/>
      <w:lvlJc w:val="left"/>
      <w:pPr>
        <w:ind w:left="720" w:hanging="360"/>
      </w:pPr>
      <w:rPr>
        <w:rFonts w:hint="default"/>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18" w15:restartNumberingAfterBreak="0">
    <w:nsid w:val="2F5E6B30"/>
    <w:multiLevelType w:val="multilevel"/>
    <w:tmpl w:val="D256C7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34D17355"/>
    <w:multiLevelType w:val="multilevel"/>
    <w:tmpl w:val="FFFFFFFF"/>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0" w15:restartNumberingAfterBreak="0">
    <w:nsid w:val="355D6EA6"/>
    <w:multiLevelType w:val="multilevel"/>
    <w:tmpl w:val="649AF4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39F939B7"/>
    <w:multiLevelType w:val="multilevel"/>
    <w:tmpl w:val="B22CF3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3ACB3C60"/>
    <w:multiLevelType w:val="multilevel"/>
    <w:tmpl w:val="C6123F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40874268"/>
    <w:multiLevelType w:val="multilevel"/>
    <w:tmpl w:val="A24A5C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41AE6E89"/>
    <w:multiLevelType w:val="multilevel"/>
    <w:tmpl w:val="A78A09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42FB5941"/>
    <w:multiLevelType w:val="multilevel"/>
    <w:tmpl w:val="CD105270"/>
    <w:lvl w:ilvl="0">
      <w:start w:val="12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15:restartNumberingAfterBreak="0">
    <w:nsid w:val="44E41B78"/>
    <w:multiLevelType w:val="multilevel"/>
    <w:tmpl w:val="F11A16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483B3970"/>
    <w:multiLevelType w:val="multilevel"/>
    <w:tmpl w:val="93F482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4C686C18"/>
    <w:multiLevelType w:val="hybridMultilevel"/>
    <w:tmpl w:val="B9E63604"/>
    <w:lvl w:ilvl="0" w:tplc="04030011">
      <w:start w:val="1"/>
      <w:numFmt w:val="decimal"/>
      <w:lvlText w:val="%1)"/>
      <w:lvlJc w:val="left"/>
      <w:pPr>
        <w:ind w:left="720" w:hanging="360"/>
      </w:pPr>
      <w:rPr>
        <w:rFonts w:hint="default"/>
      </w:rPr>
    </w:lvl>
    <w:lvl w:ilvl="1" w:tplc="04030019" w:tentative="1">
      <w:start w:val="1"/>
      <w:numFmt w:val="lowerLetter"/>
      <w:lvlText w:val="%2."/>
      <w:lvlJc w:val="left"/>
      <w:pPr>
        <w:ind w:left="1440" w:hanging="360"/>
      </w:pPr>
    </w:lvl>
    <w:lvl w:ilvl="2" w:tplc="0403001B" w:tentative="1">
      <w:start w:val="1"/>
      <w:numFmt w:val="lowerRoman"/>
      <w:lvlText w:val="%3."/>
      <w:lvlJc w:val="right"/>
      <w:pPr>
        <w:ind w:left="2160" w:hanging="180"/>
      </w:pPr>
    </w:lvl>
    <w:lvl w:ilvl="3" w:tplc="0403000F" w:tentative="1">
      <w:start w:val="1"/>
      <w:numFmt w:val="decimal"/>
      <w:lvlText w:val="%4."/>
      <w:lvlJc w:val="left"/>
      <w:pPr>
        <w:ind w:left="2880" w:hanging="360"/>
      </w:pPr>
    </w:lvl>
    <w:lvl w:ilvl="4" w:tplc="04030019" w:tentative="1">
      <w:start w:val="1"/>
      <w:numFmt w:val="lowerLetter"/>
      <w:lvlText w:val="%5."/>
      <w:lvlJc w:val="left"/>
      <w:pPr>
        <w:ind w:left="3600" w:hanging="360"/>
      </w:pPr>
    </w:lvl>
    <w:lvl w:ilvl="5" w:tplc="0403001B" w:tentative="1">
      <w:start w:val="1"/>
      <w:numFmt w:val="lowerRoman"/>
      <w:lvlText w:val="%6."/>
      <w:lvlJc w:val="right"/>
      <w:pPr>
        <w:ind w:left="4320" w:hanging="180"/>
      </w:pPr>
    </w:lvl>
    <w:lvl w:ilvl="6" w:tplc="0403000F" w:tentative="1">
      <w:start w:val="1"/>
      <w:numFmt w:val="decimal"/>
      <w:lvlText w:val="%7."/>
      <w:lvlJc w:val="left"/>
      <w:pPr>
        <w:ind w:left="5040" w:hanging="360"/>
      </w:pPr>
    </w:lvl>
    <w:lvl w:ilvl="7" w:tplc="04030019" w:tentative="1">
      <w:start w:val="1"/>
      <w:numFmt w:val="lowerLetter"/>
      <w:lvlText w:val="%8."/>
      <w:lvlJc w:val="left"/>
      <w:pPr>
        <w:ind w:left="5760" w:hanging="360"/>
      </w:pPr>
    </w:lvl>
    <w:lvl w:ilvl="8" w:tplc="0403001B" w:tentative="1">
      <w:start w:val="1"/>
      <w:numFmt w:val="lowerRoman"/>
      <w:lvlText w:val="%9."/>
      <w:lvlJc w:val="right"/>
      <w:pPr>
        <w:ind w:left="6480" w:hanging="180"/>
      </w:pPr>
    </w:lvl>
  </w:abstractNum>
  <w:abstractNum w:abstractNumId="29" w15:restartNumberingAfterBreak="0">
    <w:nsid w:val="4E56105A"/>
    <w:multiLevelType w:val="multilevel"/>
    <w:tmpl w:val="EC2ABD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51E928F4"/>
    <w:multiLevelType w:val="hybridMultilevel"/>
    <w:tmpl w:val="BCB4F7A6"/>
    <w:lvl w:ilvl="0" w:tplc="04030005">
      <w:start w:val="1"/>
      <w:numFmt w:val="bullet"/>
      <w:lvlText w:val=""/>
      <w:lvlJc w:val="left"/>
      <w:pPr>
        <w:ind w:left="1440" w:hanging="360"/>
      </w:pPr>
      <w:rPr>
        <w:rFonts w:ascii="Wingdings" w:hAnsi="Wingdings" w:hint="default"/>
      </w:rPr>
    </w:lvl>
    <w:lvl w:ilvl="1" w:tplc="04030003" w:tentative="1">
      <w:start w:val="1"/>
      <w:numFmt w:val="bullet"/>
      <w:lvlText w:val="o"/>
      <w:lvlJc w:val="left"/>
      <w:pPr>
        <w:ind w:left="2160" w:hanging="360"/>
      </w:pPr>
      <w:rPr>
        <w:rFonts w:ascii="Courier New" w:hAnsi="Courier New" w:cs="Courier New" w:hint="default"/>
      </w:rPr>
    </w:lvl>
    <w:lvl w:ilvl="2" w:tplc="04030005" w:tentative="1">
      <w:start w:val="1"/>
      <w:numFmt w:val="bullet"/>
      <w:lvlText w:val=""/>
      <w:lvlJc w:val="left"/>
      <w:pPr>
        <w:ind w:left="2880" w:hanging="360"/>
      </w:pPr>
      <w:rPr>
        <w:rFonts w:ascii="Wingdings" w:hAnsi="Wingdings" w:hint="default"/>
      </w:rPr>
    </w:lvl>
    <w:lvl w:ilvl="3" w:tplc="04030001" w:tentative="1">
      <w:start w:val="1"/>
      <w:numFmt w:val="bullet"/>
      <w:lvlText w:val=""/>
      <w:lvlJc w:val="left"/>
      <w:pPr>
        <w:ind w:left="3600" w:hanging="360"/>
      </w:pPr>
      <w:rPr>
        <w:rFonts w:ascii="Symbol" w:hAnsi="Symbol" w:hint="default"/>
      </w:rPr>
    </w:lvl>
    <w:lvl w:ilvl="4" w:tplc="04030003" w:tentative="1">
      <w:start w:val="1"/>
      <w:numFmt w:val="bullet"/>
      <w:lvlText w:val="o"/>
      <w:lvlJc w:val="left"/>
      <w:pPr>
        <w:ind w:left="4320" w:hanging="360"/>
      </w:pPr>
      <w:rPr>
        <w:rFonts w:ascii="Courier New" w:hAnsi="Courier New" w:cs="Courier New" w:hint="default"/>
      </w:rPr>
    </w:lvl>
    <w:lvl w:ilvl="5" w:tplc="04030005" w:tentative="1">
      <w:start w:val="1"/>
      <w:numFmt w:val="bullet"/>
      <w:lvlText w:val=""/>
      <w:lvlJc w:val="left"/>
      <w:pPr>
        <w:ind w:left="5040" w:hanging="360"/>
      </w:pPr>
      <w:rPr>
        <w:rFonts w:ascii="Wingdings" w:hAnsi="Wingdings" w:hint="default"/>
      </w:rPr>
    </w:lvl>
    <w:lvl w:ilvl="6" w:tplc="04030001" w:tentative="1">
      <w:start w:val="1"/>
      <w:numFmt w:val="bullet"/>
      <w:lvlText w:val=""/>
      <w:lvlJc w:val="left"/>
      <w:pPr>
        <w:ind w:left="5760" w:hanging="360"/>
      </w:pPr>
      <w:rPr>
        <w:rFonts w:ascii="Symbol" w:hAnsi="Symbol" w:hint="default"/>
      </w:rPr>
    </w:lvl>
    <w:lvl w:ilvl="7" w:tplc="04030003" w:tentative="1">
      <w:start w:val="1"/>
      <w:numFmt w:val="bullet"/>
      <w:lvlText w:val="o"/>
      <w:lvlJc w:val="left"/>
      <w:pPr>
        <w:ind w:left="6480" w:hanging="360"/>
      </w:pPr>
      <w:rPr>
        <w:rFonts w:ascii="Courier New" w:hAnsi="Courier New" w:cs="Courier New" w:hint="default"/>
      </w:rPr>
    </w:lvl>
    <w:lvl w:ilvl="8" w:tplc="04030005" w:tentative="1">
      <w:start w:val="1"/>
      <w:numFmt w:val="bullet"/>
      <w:lvlText w:val=""/>
      <w:lvlJc w:val="left"/>
      <w:pPr>
        <w:ind w:left="7200" w:hanging="360"/>
      </w:pPr>
      <w:rPr>
        <w:rFonts w:ascii="Wingdings" w:hAnsi="Wingdings" w:hint="default"/>
      </w:rPr>
    </w:lvl>
  </w:abstractNum>
  <w:abstractNum w:abstractNumId="31" w15:restartNumberingAfterBreak="0">
    <w:nsid w:val="53A22CF4"/>
    <w:multiLevelType w:val="hybridMultilevel"/>
    <w:tmpl w:val="340E6CC6"/>
    <w:lvl w:ilvl="0" w:tplc="18090017">
      <w:start w:val="1"/>
      <w:numFmt w:val="lowerLetter"/>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32" w15:restartNumberingAfterBreak="0">
    <w:nsid w:val="553A5608"/>
    <w:multiLevelType w:val="multilevel"/>
    <w:tmpl w:val="7C3463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567F171C"/>
    <w:multiLevelType w:val="multilevel"/>
    <w:tmpl w:val="906861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582A112D"/>
    <w:multiLevelType w:val="multilevel"/>
    <w:tmpl w:val="42B0BF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59810534"/>
    <w:multiLevelType w:val="multilevel"/>
    <w:tmpl w:val="9D0A01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15:restartNumberingAfterBreak="0">
    <w:nsid w:val="639F1ABA"/>
    <w:multiLevelType w:val="multilevel"/>
    <w:tmpl w:val="06123E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647233AD"/>
    <w:multiLevelType w:val="multilevel"/>
    <w:tmpl w:val="3E9EBF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15:restartNumberingAfterBreak="0">
    <w:nsid w:val="6B295319"/>
    <w:multiLevelType w:val="hybridMultilevel"/>
    <w:tmpl w:val="9B0EF2B4"/>
    <w:lvl w:ilvl="0" w:tplc="040A0001">
      <w:start w:val="1"/>
      <w:numFmt w:val="bullet"/>
      <w:lvlText w:val=""/>
      <w:lvlJc w:val="left"/>
      <w:pPr>
        <w:ind w:left="720" w:hanging="360"/>
      </w:pPr>
      <w:rPr>
        <w:rFonts w:ascii="Symbol" w:hAnsi="Symbol"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39" w15:restartNumberingAfterBreak="0">
    <w:nsid w:val="6E5461D8"/>
    <w:multiLevelType w:val="multilevel"/>
    <w:tmpl w:val="CEECC2F4"/>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0" w15:restartNumberingAfterBreak="0">
    <w:nsid w:val="7092697C"/>
    <w:multiLevelType w:val="multilevel"/>
    <w:tmpl w:val="0C3228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15:restartNumberingAfterBreak="0">
    <w:nsid w:val="71CF6DDA"/>
    <w:multiLevelType w:val="multilevel"/>
    <w:tmpl w:val="4B00C6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15:restartNumberingAfterBreak="0">
    <w:nsid w:val="7279611C"/>
    <w:multiLevelType w:val="multilevel"/>
    <w:tmpl w:val="74E4E3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15:restartNumberingAfterBreak="0">
    <w:nsid w:val="73FA21B0"/>
    <w:multiLevelType w:val="multilevel"/>
    <w:tmpl w:val="0D0CD6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15:restartNumberingAfterBreak="0">
    <w:nsid w:val="7CFD4A4F"/>
    <w:multiLevelType w:val="multilevel"/>
    <w:tmpl w:val="E57C44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15:restartNumberingAfterBreak="0">
    <w:nsid w:val="7F9965EA"/>
    <w:multiLevelType w:val="hybridMultilevel"/>
    <w:tmpl w:val="0D1EB538"/>
    <w:lvl w:ilvl="0" w:tplc="1AD23BAE">
      <w:start w:val="35"/>
      <w:numFmt w:val="bullet"/>
      <w:lvlText w:val="-"/>
      <w:lvlJc w:val="left"/>
      <w:pPr>
        <w:ind w:left="720" w:hanging="360"/>
      </w:pPr>
      <w:rPr>
        <w:rFonts w:ascii="Calibri" w:eastAsiaTheme="minorHAnsi" w:hAnsi="Calibri" w:cs="Calibri"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num w:numId="1" w16cid:durableId="372079541">
    <w:abstractNumId w:val="19"/>
  </w:num>
  <w:num w:numId="2" w16cid:durableId="1489204125">
    <w:abstractNumId w:val="18"/>
  </w:num>
  <w:num w:numId="3" w16cid:durableId="1525678205">
    <w:abstractNumId w:val="5"/>
  </w:num>
  <w:num w:numId="4" w16cid:durableId="1479492183">
    <w:abstractNumId w:val="15"/>
  </w:num>
  <w:num w:numId="5" w16cid:durableId="2000692343">
    <w:abstractNumId w:val="6"/>
  </w:num>
  <w:num w:numId="6" w16cid:durableId="1263493718">
    <w:abstractNumId w:val="35"/>
  </w:num>
  <w:num w:numId="7" w16cid:durableId="150025189">
    <w:abstractNumId w:val="44"/>
  </w:num>
  <w:num w:numId="8" w16cid:durableId="693380637">
    <w:abstractNumId w:val="9"/>
  </w:num>
  <w:num w:numId="9" w16cid:durableId="1020542676">
    <w:abstractNumId w:val="42"/>
  </w:num>
  <w:num w:numId="10" w16cid:durableId="734741771">
    <w:abstractNumId w:val="13"/>
  </w:num>
  <w:num w:numId="11" w16cid:durableId="1983077248">
    <w:abstractNumId w:val="33"/>
  </w:num>
  <w:num w:numId="12" w16cid:durableId="1209682172">
    <w:abstractNumId w:val="14"/>
  </w:num>
  <w:num w:numId="13" w16cid:durableId="160895177">
    <w:abstractNumId w:val="25"/>
  </w:num>
  <w:num w:numId="14" w16cid:durableId="1236276974">
    <w:abstractNumId w:val="43"/>
  </w:num>
  <w:num w:numId="15" w16cid:durableId="629558463">
    <w:abstractNumId w:val="23"/>
  </w:num>
  <w:num w:numId="16" w16cid:durableId="1110248179">
    <w:abstractNumId w:val="21"/>
  </w:num>
  <w:num w:numId="17" w16cid:durableId="1433548132">
    <w:abstractNumId w:val="0"/>
  </w:num>
  <w:num w:numId="18" w16cid:durableId="1685789871">
    <w:abstractNumId w:val="32"/>
  </w:num>
  <w:num w:numId="19" w16cid:durableId="424228007">
    <w:abstractNumId w:val="40"/>
  </w:num>
  <w:num w:numId="20" w16cid:durableId="868683167">
    <w:abstractNumId w:val="10"/>
  </w:num>
  <w:num w:numId="21" w16cid:durableId="804736018">
    <w:abstractNumId w:val="37"/>
  </w:num>
  <w:num w:numId="22" w16cid:durableId="509489319">
    <w:abstractNumId w:val="22"/>
  </w:num>
  <w:num w:numId="23" w16cid:durableId="778722915">
    <w:abstractNumId w:val="29"/>
  </w:num>
  <w:num w:numId="24" w16cid:durableId="1728870496">
    <w:abstractNumId w:val="41"/>
  </w:num>
  <w:num w:numId="25" w16cid:durableId="717359720">
    <w:abstractNumId w:val="36"/>
  </w:num>
  <w:num w:numId="26" w16cid:durableId="383718543">
    <w:abstractNumId w:val="34"/>
  </w:num>
  <w:num w:numId="27" w16cid:durableId="641891370">
    <w:abstractNumId w:val="24"/>
  </w:num>
  <w:num w:numId="28" w16cid:durableId="1821657871">
    <w:abstractNumId w:val="26"/>
  </w:num>
  <w:num w:numId="29" w16cid:durableId="1670712363">
    <w:abstractNumId w:val="4"/>
  </w:num>
  <w:num w:numId="30" w16cid:durableId="1529102792">
    <w:abstractNumId w:val="11"/>
  </w:num>
  <w:num w:numId="31" w16cid:durableId="120803149">
    <w:abstractNumId w:val="20"/>
  </w:num>
  <w:num w:numId="32" w16cid:durableId="1347176937">
    <w:abstractNumId w:val="17"/>
  </w:num>
  <w:num w:numId="33" w16cid:durableId="1505704956">
    <w:abstractNumId w:val="38"/>
  </w:num>
  <w:num w:numId="34" w16cid:durableId="993141485">
    <w:abstractNumId w:val="1"/>
  </w:num>
  <w:num w:numId="35" w16cid:durableId="577784425">
    <w:abstractNumId w:val="7"/>
  </w:num>
  <w:num w:numId="36" w16cid:durableId="1735153415">
    <w:abstractNumId w:val="27"/>
  </w:num>
  <w:num w:numId="37" w16cid:durableId="507334725">
    <w:abstractNumId w:val="8"/>
  </w:num>
  <w:num w:numId="38" w16cid:durableId="1847134964">
    <w:abstractNumId w:val="16"/>
  </w:num>
  <w:num w:numId="39" w16cid:durableId="153571236">
    <w:abstractNumId w:val="39"/>
  </w:num>
  <w:num w:numId="40" w16cid:durableId="207569593">
    <w:abstractNumId w:val="2"/>
  </w:num>
  <w:num w:numId="41" w16cid:durableId="1397121897">
    <w:abstractNumId w:val="30"/>
  </w:num>
  <w:num w:numId="42" w16cid:durableId="466581475">
    <w:abstractNumId w:val="3"/>
  </w:num>
  <w:num w:numId="43" w16cid:durableId="1235315046">
    <w:abstractNumId w:val="28"/>
  </w:num>
  <w:num w:numId="44" w16cid:durableId="1908491826">
    <w:abstractNumId w:val="31"/>
  </w:num>
  <w:num w:numId="45" w16cid:durableId="542711279">
    <w:abstractNumId w:val="45"/>
  </w:num>
  <w:num w:numId="46" w16cid:durableId="1396583324">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443FBD"/>
    <w:rsid w:val="0000203F"/>
    <w:rsid w:val="00003A42"/>
    <w:rsid w:val="00041A62"/>
    <w:rsid w:val="00044A89"/>
    <w:rsid w:val="00044DC2"/>
    <w:rsid w:val="000541A5"/>
    <w:rsid w:val="000639E2"/>
    <w:rsid w:val="00065465"/>
    <w:rsid w:val="0008545D"/>
    <w:rsid w:val="000A3B66"/>
    <w:rsid w:val="000A402F"/>
    <w:rsid w:val="000C16CB"/>
    <w:rsid w:val="000C25C9"/>
    <w:rsid w:val="000C5AFA"/>
    <w:rsid w:val="000E1801"/>
    <w:rsid w:val="000E441E"/>
    <w:rsid w:val="00101A66"/>
    <w:rsid w:val="001106A4"/>
    <w:rsid w:val="00111E17"/>
    <w:rsid w:val="001302AE"/>
    <w:rsid w:val="00143D36"/>
    <w:rsid w:val="0015080D"/>
    <w:rsid w:val="00157B66"/>
    <w:rsid w:val="0017170A"/>
    <w:rsid w:val="00181480"/>
    <w:rsid w:val="00190AD5"/>
    <w:rsid w:val="001B30D4"/>
    <w:rsid w:val="001B3D74"/>
    <w:rsid w:val="001B4D42"/>
    <w:rsid w:val="001B6F7B"/>
    <w:rsid w:val="001C0851"/>
    <w:rsid w:val="001C0D89"/>
    <w:rsid w:val="001D18DC"/>
    <w:rsid w:val="001D2657"/>
    <w:rsid w:val="001E6D6E"/>
    <w:rsid w:val="001F574C"/>
    <w:rsid w:val="0020004F"/>
    <w:rsid w:val="00200E6E"/>
    <w:rsid w:val="00204499"/>
    <w:rsid w:val="00204752"/>
    <w:rsid w:val="00212840"/>
    <w:rsid w:val="00222A0F"/>
    <w:rsid w:val="00243A80"/>
    <w:rsid w:val="00245B7D"/>
    <w:rsid w:val="0025785F"/>
    <w:rsid w:val="002667C3"/>
    <w:rsid w:val="0027595F"/>
    <w:rsid w:val="00277713"/>
    <w:rsid w:val="002830C0"/>
    <w:rsid w:val="00283692"/>
    <w:rsid w:val="0029203F"/>
    <w:rsid w:val="002946A0"/>
    <w:rsid w:val="002A0BDA"/>
    <w:rsid w:val="002B603D"/>
    <w:rsid w:val="002C16BE"/>
    <w:rsid w:val="002D298A"/>
    <w:rsid w:val="002D622D"/>
    <w:rsid w:val="002F2C73"/>
    <w:rsid w:val="0030456A"/>
    <w:rsid w:val="00321E09"/>
    <w:rsid w:val="00344BDB"/>
    <w:rsid w:val="00372AAF"/>
    <w:rsid w:val="003814F2"/>
    <w:rsid w:val="00384494"/>
    <w:rsid w:val="00390CC1"/>
    <w:rsid w:val="0039290B"/>
    <w:rsid w:val="00393251"/>
    <w:rsid w:val="003A017C"/>
    <w:rsid w:val="003A537F"/>
    <w:rsid w:val="003C4516"/>
    <w:rsid w:val="003C6E94"/>
    <w:rsid w:val="003D5E70"/>
    <w:rsid w:val="003E4902"/>
    <w:rsid w:val="003F3035"/>
    <w:rsid w:val="003F304D"/>
    <w:rsid w:val="004046A5"/>
    <w:rsid w:val="00410864"/>
    <w:rsid w:val="00410A93"/>
    <w:rsid w:val="004333EC"/>
    <w:rsid w:val="00443FBD"/>
    <w:rsid w:val="00460264"/>
    <w:rsid w:val="00467E58"/>
    <w:rsid w:val="0047150D"/>
    <w:rsid w:val="0048041D"/>
    <w:rsid w:val="00485D0A"/>
    <w:rsid w:val="0049009B"/>
    <w:rsid w:val="00491D84"/>
    <w:rsid w:val="004A01CA"/>
    <w:rsid w:val="00505929"/>
    <w:rsid w:val="0051115D"/>
    <w:rsid w:val="0051427D"/>
    <w:rsid w:val="00516035"/>
    <w:rsid w:val="00516259"/>
    <w:rsid w:val="00537D03"/>
    <w:rsid w:val="0055322C"/>
    <w:rsid w:val="00560CDB"/>
    <w:rsid w:val="005612A3"/>
    <w:rsid w:val="00561E53"/>
    <w:rsid w:val="005647B4"/>
    <w:rsid w:val="00566271"/>
    <w:rsid w:val="0058372C"/>
    <w:rsid w:val="0059377D"/>
    <w:rsid w:val="005A1E3D"/>
    <w:rsid w:val="005B219A"/>
    <w:rsid w:val="005C1771"/>
    <w:rsid w:val="005D75E0"/>
    <w:rsid w:val="005F4BDB"/>
    <w:rsid w:val="00600AB8"/>
    <w:rsid w:val="0060556B"/>
    <w:rsid w:val="0061208F"/>
    <w:rsid w:val="00613606"/>
    <w:rsid w:val="00613A66"/>
    <w:rsid w:val="00616814"/>
    <w:rsid w:val="00633C2C"/>
    <w:rsid w:val="0064073C"/>
    <w:rsid w:val="00642159"/>
    <w:rsid w:val="006479F9"/>
    <w:rsid w:val="00652ECC"/>
    <w:rsid w:val="00662304"/>
    <w:rsid w:val="00674960"/>
    <w:rsid w:val="0069257E"/>
    <w:rsid w:val="00695D8A"/>
    <w:rsid w:val="006A04DB"/>
    <w:rsid w:val="006B119B"/>
    <w:rsid w:val="006B4875"/>
    <w:rsid w:val="006C2C39"/>
    <w:rsid w:val="006F5078"/>
    <w:rsid w:val="007111BE"/>
    <w:rsid w:val="00711728"/>
    <w:rsid w:val="00714895"/>
    <w:rsid w:val="00740BB9"/>
    <w:rsid w:val="00740D71"/>
    <w:rsid w:val="007458BA"/>
    <w:rsid w:val="00745FCF"/>
    <w:rsid w:val="00747C7E"/>
    <w:rsid w:val="00761FF8"/>
    <w:rsid w:val="00762902"/>
    <w:rsid w:val="00764C0A"/>
    <w:rsid w:val="007711F6"/>
    <w:rsid w:val="00771C0C"/>
    <w:rsid w:val="00784097"/>
    <w:rsid w:val="0078587B"/>
    <w:rsid w:val="0078699D"/>
    <w:rsid w:val="007B2218"/>
    <w:rsid w:val="007C10F0"/>
    <w:rsid w:val="007D1296"/>
    <w:rsid w:val="007D2B05"/>
    <w:rsid w:val="007D56D6"/>
    <w:rsid w:val="007D677E"/>
    <w:rsid w:val="007E150B"/>
    <w:rsid w:val="007E74D6"/>
    <w:rsid w:val="007F1555"/>
    <w:rsid w:val="007F272B"/>
    <w:rsid w:val="007F4A7D"/>
    <w:rsid w:val="00815FCB"/>
    <w:rsid w:val="00830C22"/>
    <w:rsid w:val="00862391"/>
    <w:rsid w:val="00871E9D"/>
    <w:rsid w:val="008817AD"/>
    <w:rsid w:val="008E733D"/>
    <w:rsid w:val="008F1F7C"/>
    <w:rsid w:val="0093419E"/>
    <w:rsid w:val="0093649B"/>
    <w:rsid w:val="0094362F"/>
    <w:rsid w:val="00946CD8"/>
    <w:rsid w:val="00952095"/>
    <w:rsid w:val="00964A3A"/>
    <w:rsid w:val="00974680"/>
    <w:rsid w:val="00975BA7"/>
    <w:rsid w:val="00976991"/>
    <w:rsid w:val="009A148F"/>
    <w:rsid w:val="009B4956"/>
    <w:rsid w:val="009E2FCD"/>
    <w:rsid w:val="009F3F7C"/>
    <w:rsid w:val="009F7D3D"/>
    <w:rsid w:val="00A02C7A"/>
    <w:rsid w:val="00A044EB"/>
    <w:rsid w:val="00A12D5C"/>
    <w:rsid w:val="00A3435D"/>
    <w:rsid w:val="00A47BFB"/>
    <w:rsid w:val="00A53092"/>
    <w:rsid w:val="00A601E0"/>
    <w:rsid w:val="00A70009"/>
    <w:rsid w:val="00A70E0D"/>
    <w:rsid w:val="00A75296"/>
    <w:rsid w:val="00A76799"/>
    <w:rsid w:val="00A80104"/>
    <w:rsid w:val="00A80EFB"/>
    <w:rsid w:val="00A91BC0"/>
    <w:rsid w:val="00AB03DF"/>
    <w:rsid w:val="00AB1D0C"/>
    <w:rsid w:val="00AC1D1B"/>
    <w:rsid w:val="00AC3B36"/>
    <w:rsid w:val="00AD6D05"/>
    <w:rsid w:val="00AF27BE"/>
    <w:rsid w:val="00AF709F"/>
    <w:rsid w:val="00B00F38"/>
    <w:rsid w:val="00B039DE"/>
    <w:rsid w:val="00B05272"/>
    <w:rsid w:val="00B126D1"/>
    <w:rsid w:val="00B20C69"/>
    <w:rsid w:val="00B259C1"/>
    <w:rsid w:val="00B26B00"/>
    <w:rsid w:val="00B30305"/>
    <w:rsid w:val="00B53A2F"/>
    <w:rsid w:val="00B602B4"/>
    <w:rsid w:val="00B6326F"/>
    <w:rsid w:val="00B768AF"/>
    <w:rsid w:val="00B85AD6"/>
    <w:rsid w:val="00B90012"/>
    <w:rsid w:val="00BA2629"/>
    <w:rsid w:val="00BA6F46"/>
    <w:rsid w:val="00BB2EBA"/>
    <w:rsid w:val="00BB7CA1"/>
    <w:rsid w:val="00BC7D61"/>
    <w:rsid w:val="00BD1349"/>
    <w:rsid w:val="00BD2B1D"/>
    <w:rsid w:val="00BD39D4"/>
    <w:rsid w:val="00BD51DA"/>
    <w:rsid w:val="00BD5257"/>
    <w:rsid w:val="00BD6A12"/>
    <w:rsid w:val="00C008BC"/>
    <w:rsid w:val="00C1053A"/>
    <w:rsid w:val="00C216B6"/>
    <w:rsid w:val="00C25CFD"/>
    <w:rsid w:val="00C302DB"/>
    <w:rsid w:val="00C35E95"/>
    <w:rsid w:val="00C40680"/>
    <w:rsid w:val="00C410BC"/>
    <w:rsid w:val="00C434C9"/>
    <w:rsid w:val="00C61069"/>
    <w:rsid w:val="00C65937"/>
    <w:rsid w:val="00C81930"/>
    <w:rsid w:val="00C845C8"/>
    <w:rsid w:val="00C86385"/>
    <w:rsid w:val="00C86D65"/>
    <w:rsid w:val="00CA656C"/>
    <w:rsid w:val="00CC2A36"/>
    <w:rsid w:val="00CC7B1F"/>
    <w:rsid w:val="00CD0E8E"/>
    <w:rsid w:val="00CD3CA4"/>
    <w:rsid w:val="00CD406C"/>
    <w:rsid w:val="00CD6210"/>
    <w:rsid w:val="00CD6C01"/>
    <w:rsid w:val="00CE3A0F"/>
    <w:rsid w:val="00CE7D8A"/>
    <w:rsid w:val="00CF167A"/>
    <w:rsid w:val="00D02BC6"/>
    <w:rsid w:val="00D04C05"/>
    <w:rsid w:val="00D1320E"/>
    <w:rsid w:val="00D16793"/>
    <w:rsid w:val="00D36836"/>
    <w:rsid w:val="00D41484"/>
    <w:rsid w:val="00D433EF"/>
    <w:rsid w:val="00D45864"/>
    <w:rsid w:val="00D460A6"/>
    <w:rsid w:val="00D621AF"/>
    <w:rsid w:val="00D6700C"/>
    <w:rsid w:val="00D767E4"/>
    <w:rsid w:val="00D86668"/>
    <w:rsid w:val="00D874AC"/>
    <w:rsid w:val="00DA0D8C"/>
    <w:rsid w:val="00DB7DF7"/>
    <w:rsid w:val="00DC593F"/>
    <w:rsid w:val="00DD6D62"/>
    <w:rsid w:val="00DE4323"/>
    <w:rsid w:val="00DE4B24"/>
    <w:rsid w:val="00DE6339"/>
    <w:rsid w:val="00DF1774"/>
    <w:rsid w:val="00DF66F8"/>
    <w:rsid w:val="00E05B4E"/>
    <w:rsid w:val="00E06E76"/>
    <w:rsid w:val="00E15CD2"/>
    <w:rsid w:val="00E2392C"/>
    <w:rsid w:val="00E349D7"/>
    <w:rsid w:val="00E40873"/>
    <w:rsid w:val="00E5069D"/>
    <w:rsid w:val="00E50C14"/>
    <w:rsid w:val="00E56B36"/>
    <w:rsid w:val="00E57788"/>
    <w:rsid w:val="00E64650"/>
    <w:rsid w:val="00E668D1"/>
    <w:rsid w:val="00E739A4"/>
    <w:rsid w:val="00E808D2"/>
    <w:rsid w:val="00E82DBA"/>
    <w:rsid w:val="00E90BDB"/>
    <w:rsid w:val="00EA44CF"/>
    <w:rsid w:val="00EB21D6"/>
    <w:rsid w:val="00EB6665"/>
    <w:rsid w:val="00EC0FCC"/>
    <w:rsid w:val="00EC1B7F"/>
    <w:rsid w:val="00EC2273"/>
    <w:rsid w:val="00ED6967"/>
    <w:rsid w:val="00ED6B1D"/>
    <w:rsid w:val="00EE19E9"/>
    <w:rsid w:val="00EE3A32"/>
    <w:rsid w:val="00EF3796"/>
    <w:rsid w:val="00F01D39"/>
    <w:rsid w:val="00F14A8C"/>
    <w:rsid w:val="00F24AEE"/>
    <w:rsid w:val="00F3784B"/>
    <w:rsid w:val="00F37B27"/>
    <w:rsid w:val="00F43098"/>
    <w:rsid w:val="00F678F5"/>
    <w:rsid w:val="00F70A78"/>
    <w:rsid w:val="00F74EFF"/>
    <w:rsid w:val="00F766DC"/>
    <w:rsid w:val="00F84124"/>
    <w:rsid w:val="00F943A2"/>
    <w:rsid w:val="00FB3AF0"/>
    <w:rsid w:val="00FF030C"/>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57"/>
    <o:shapelayout v:ext="edit">
      <o:idmap v:ext="edit" data="1"/>
      <o:rules v:ext="edit">
        <o:r id="V:Rule1" type="connector" idref="#Connector de fletxa recta 26"/>
        <o:r id="V:Rule2" type="connector" idref="#Connector de fletxa recta 25"/>
        <o:r id="V:Rule3" type="connector" idref="#Connector de fletxa recta 36"/>
        <o:r id="V:Rule4" type="connector" idref="#Connector de fletxa recta 40"/>
        <o:r id="V:Rule5" type="connector" idref="#Connector de fletxa recta 39"/>
        <o:r id="V:Rule6" type="connector" idref="#Connector de fletxa recta 31"/>
        <o:r id="V:Rule7" type="connector" idref="#Connector de fletxa recta 30"/>
        <o:r id="V:Rule8" type="connector" idref="#Connector de fletxa recta 32"/>
      </o:rules>
    </o:shapelayout>
  </w:shapeDefaults>
  <w:decimalSymbol w:val=","/>
  <w:listSeparator w:val=";"/>
  <w14:docId w14:val="5ACC975F"/>
  <w15:docId w15:val="{A0949DFE-561C-4FA9-A340-A57ECEB080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cs-CZ"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566271"/>
    <w:rPr>
      <w:rFonts w:ascii="Times New Roman" w:eastAsia="Times New Roman" w:hAnsi="Times New Roman" w:cs="Times New Roman"/>
      <w:kern w:val="0"/>
      <w:lang w:eastAsia="es-ES_tradnl"/>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Odstavecseseznamem">
    <w:name w:val="List Paragraph"/>
    <w:basedOn w:val="Normln"/>
    <w:uiPriority w:val="34"/>
    <w:qFormat/>
    <w:rsid w:val="00443FBD"/>
    <w:pPr>
      <w:ind w:left="720"/>
      <w:contextualSpacing/>
    </w:pPr>
  </w:style>
  <w:style w:type="table" w:styleId="Mkatabulky">
    <w:name w:val="Table Grid"/>
    <w:basedOn w:val="Normlntabulka"/>
    <w:uiPriority w:val="39"/>
    <w:rsid w:val="00443FBD"/>
    <w:rPr>
      <w:rFonts w:eastAsiaTheme="minorEastAsia"/>
      <w:sz w:val="22"/>
      <w:szCs w:val="22"/>
      <w:lang w:eastAsia="ca-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lnweb">
    <w:name w:val="Normal (Web)"/>
    <w:basedOn w:val="Normln"/>
    <w:uiPriority w:val="99"/>
    <w:unhideWhenUsed/>
    <w:rsid w:val="00505929"/>
    <w:pPr>
      <w:spacing w:before="100" w:beforeAutospacing="1" w:after="100" w:afterAutospacing="1"/>
    </w:pPr>
  </w:style>
  <w:style w:type="character" w:styleId="Hypertextovodkaz">
    <w:name w:val="Hyperlink"/>
    <w:basedOn w:val="Standardnpsmoodstavce"/>
    <w:uiPriority w:val="99"/>
    <w:unhideWhenUsed/>
    <w:rsid w:val="00E15CD2"/>
    <w:rPr>
      <w:color w:val="0563C1" w:themeColor="hyperlink"/>
      <w:u w:val="single"/>
    </w:rPr>
  </w:style>
  <w:style w:type="character" w:customStyle="1" w:styleId="Mentionnonrsolue1">
    <w:name w:val="Mention non résolue1"/>
    <w:basedOn w:val="Standardnpsmoodstavce"/>
    <w:uiPriority w:val="99"/>
    <w:semiHidden/>
    <w:unhideWhenUsed/>
    <w:rsid w:val="00E15CD2"/>
    <w:rPr>
      <w:color w:val="605E5C"/>
      <w:shd w:val="clear" w:color="auto" w:fill="E1DFDD"/>
    </w:rPr>
  </w:style>
  <w:style w:type="paragraph" w:styleId="Textpoznpodarou">
    <w:name w:val="footnote text"/>
    <w:basedOn w:val="Normln"/>
    <w:link w:val="TextpoznpodarouChar"/>
    <w:uiPriority w:val="99"/>
    <w:semiHidden/>
    <w:unhideWhenUsed/>
    <w:rsid w:val="00EC2273"/>
    <w:rPr>
      <w:sz w:val="20"/>
      <w:szCs w:val="20"/>
    </w:rPr>
  </w:style>
  <w:style w:type="character" w:customStyle="1" w:styleId="TextpoznpodarouChar">
    <w:name w:val="Text pozn. pod čarou Char"/>
    <w:basedOn w:val="Standardnpsmoodstavce"/>
    <w:link w:val="Textpoznpodarou"/>
    <w:uiPriority w:val="99"/>
    <w:semiHidden/>
    <w:rsid w:val="00EC2273"/>
    <w:rPr>
      <w:rFonts w:eastAsiaTheme="minorEastAsia"/>
      <w:sz w:val="20"/>
      <w:szCs w:val="20"/>
      <w:lang w:val="cs-CZ" w:eastAsia="ca-ES"/>
    </w:rPr>
  </w:style>
  <w:style w:type="character" w:styleId="Znakapoznpodarou">
    <w:name w:val="footnote reference"/>
    <w:basedOn w:val="Standardnpsmoodstavce"/>
    <w:uiPriority w:val="99"/>
    <w:semiHidden/>
    <w:unhideWhenUsed/>
    <w:rsid w:val="00EC2273"/>
    <w:rPr>
      <w:vertAlign w:val="superscript"/>
    </w:rPr>
  </w:style>
  <w:style w:type="character" w:customStyle="1" w:styleId="apple-tab-span">
    <w:name w:val="apple-tab-span"/>
    <w:basedOn w:val="Standardnpsmoodstavce"/>
    <w:rsid w:val="007F272B"/>
  </w:style>
  <w:style w:type="paragraph" w:styleId="Zpat">
    <w:name w:val="footer"/>
    <w:basedOn w:val="Normln"/>
    <w:link w:val="ZpatChar"/>
    <w:uiPriority w:val="99"/>
    <w:unhideWhenUsed/>
    <w:rsid w:val="00101A66"/>
    <w:pPr>
      <w:tabs>
        <w:tab w:val="center" w:pos="4252"/>
        <w:tab w:val="right" w:pos="8504"/>
      </w:tabs>
    </w:pPr>
  </w:style>
  <w:style w:type="character" w:customStyle="1" w:styleId="ZpatChar">
    <w:name w:val="Zápatí Char"/>
    <w:basedOn w:val="Standardnpsmoodstavce"/>
    <w:link w:val="Zpat"/>
    <w:uiPriority w:val="99"/>
    <w:rsid w:val="00101A66"/>
    <w:rPr>
      <w:rFonts w:eastAsiaTheme="minorEastAsia"/>
      <w:sz w:val="22"/>
      <w:szCs w:val="22"/>
      <w:lang w:val="cs-CZ" w:eastAsia="ca-ES"/>
    </w:rPr>
  </w:style>
  <w:style w:type="character" w:styleId="slostrnky">
    <w:name w:val="page number"/>
    <w:basedOn w:val="Standardnpsmoodstavce"/>
    <w:uiPriority w:val="99"/>
    <w:semiHidden/>
    <w:unhideWhenUsed/>
    <w:rsid w:val="00101A66"/>
  </w:style>
  <w:style w:type="paragraph" w:styleId="FormtovanvHTML">
    <w:name w:val="HTML Preformatted"/>
    <w:basedOn w:val="Normln"/>
    <w:link w:val="FormtovanvHTMLChar"/>
    <w:uiPriority w:val="99"/>
    <w:unhideWhenUsed/>
    <w:rsid w:val="00E808D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FormtovanvHTMLChar">
    <w:name w:val="Formátovaný v HTML Char"/>
    <w:basedOn w:val="Standardnpsmoodstavce"/>
    <w:link w:val="FormtovanvHTML"/>
    <w:uiPriority w:val="99"/>
    <w:rsid w:val="00E808D2"/>
    <w:rPr>
      <w:rFonts w:ascii="Courier New" w:eastAsia="Times New Roman" w:hAnsi="Courier New" w:cs="Courier New"/>
      <w:kern w:val="0"/>
      <w:sz w:val="20"/>
      <w:szCs w:val="20"/>
      <w:lang w:eastAsia="es-ES_tradnl"/>
    </w:rPr>
  </w:style>
  <w:style w:type="character" w:customStyle="1" w:styleId="y2iqfc">
    <w:name w:val="y2iqfc"/>
    <w:basedOn w:val="Standardnpsmoodstavce"/>
    <w:rsid w:val="00E808D2"/>
  </w:style>
  <w:style w:type="character" w:customStyle="1" w:styleId="apple-converted-space">
    <w:name w:val="apple-converted-space"/>
    <w:basedOn w:val="Standardnpsmoodstavce"/>
    <w:rsid w:val="0000203F"/>
  </w:style>
  <w:style w:type="paragraph" w:customStyle="1" w:styleId="Normal1">
    <w:name w:val="Normal1"/>
    <w:basedOn w:val="Normln"/>
    <w:rsid w:val="000541A5"/>
    <w:pPr>
      <w:spacing w:before="100" w:beforeAutospacing="1" w:after="100" w:afterAutospacing="1"/>
    </w:pPr>
    <w:rPr>
      <w:lang w:eastAsia="ca-ES"/>
    </w:rPr>
  </w:style>
  <w:style w:type="character" w:customStyle="1" w:styleId="outputecliaff">
    <w:name w:val="outputecliaff"/>
    <w:basedOn w:val="Standardnpsmoodstavce"/>
    <w:rsid w:val="00C65937"/>
  </w:style>
  <w:style w:type="character" w:customStyle="1" w:styleId="hgkelc">
    <w:name w:val="hgkelc"/>
    <w:basedOn w:val="Standardnpsmoodstavce"/>
    <w:rsid w:val="00974680"/>
  </w:style>
  <w:style w:type="character" w:styleId="Zdraznn">
    <w:name w:val="Emphasis"/>
    <w:basedOn w:val="Standardnpsmoodstavce"/>
    <w:uiPriority w:val="20"/>
    <w:qFormat/>
    <w:rsid w:val="00B6326F"/>
    <w:rPr>
      <w:i/>
      <w:iCs/>
    </w:rPr>
  </w:style>
  <w:style w:type="table" w:customStyle="1" w:styleId="Taulaambquadrcula1">
    <w:name w:val="Taula amb quadrícula1"/>
    <w:basedOn w:val="Normlntabulka"/>
    <w:uiPriority w:val="39"/>
    <w:rsid w:val="00B05272"/>
    <w:rPr>
      <w:rFonts w:eastAsia="Times New Roman"/>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01pointnumerotealtn">
    <w:name w:val="c01pointnumerotealtn"/>
    <w:basedOn w:val="Normln"/>
    <w:rsid w:val="0030456A"/>
    <w:pPr>
      <w:spacing w:before="100" w:beforeAutospacing="1" w:after="100" w:afterAutospacing="1"/>
    </w:pPr>
    <w:rPr>
      <w:lang w:eastAsia="ca-ES"/>
    </w:rPr>
  </w:style>
  <w:style w:type="paragraph" w:styleId="Revize">
    <w:name w:val="Revision"/>
    <w:hidden/>
    <w:uiPriority w:val="99"/>
    <w:semiHidden/>
    <w:rsid w:val="00111E17"/>
    <w:rPr>
      <w:rFonts w:ascii="Times New Roman" w:eastAsia="Times New Roman" w:hAnsi="Times New Roman" w:cs="Times New Roman"/>
      <w:kern w:val="0"/>
      <w:lang w:eastAsia="es-ES_tradnl"/>
    </w:rPr>
  </w:style>
  <w:style w:type="character" w:styleId="Siln">
    <w:name w:val="Strong"/>
    <w:basedOn w:val="Standardnpsmoodstavce"/>
    <w:uiPriority w:val="22"/>
    <w:qFormat/>
    <w:rsid w:val="000A402F"/>
    <w:rPr>
      <w:b/>
      <w:bCs/>
    </w:rPr>
  </w:style>
  <w:style w:type="character" w:styleId="Odkaznakoment">
    <w:name w:val="annotation reference"/>
    <w:basedOn w:val="Standardnpsmoodstavce"/>
    <w:uiPriority w:val="99"/>
    <w:semiHidden/>
    <w:unhideWhenUsed/>
    <w:rsid w:val="0048041D"/>
    <w:rPr>
      <w:sz w:val="16"/>
      <w:szCs w:val="16"/>
    </w:rPr>
  </w:style>
  <w:style w:type="paragraph" w:styleId="Textkomente">
    <w:name w:val="annotation text"/>
    <w:basedOn w:val="Normln"/>
    <w:link w:val="TextkomenteChar"/>
    <w:uiPriority w:val="99"/>
    <w:semiHidden/>
    <w:unhideWhenUsed/>
    <w:rsid w:val="0048041D"/>
    <w:rPr>
      <w:sz w:val="20"/>
      <w:szCs w:val="20"/>
    </w:rPr>
  </w:style>
  <w:style w:type="character" w:customStyle="1" w:styleId="TextkomenteChar">
    <w:name w:val="Text komentáře Char"/>
    <w:basedOn w:val="Standardnpsmoodstavce"/>
    <w:link w:val="Textkomente"/>
    <w:uiPriority w:val="99"/>
    <w:semiHidden/>
    <w:rsid w:val="0048041D"/>
    <w:rPr>
      <w:rFonts w:ascii="Times New Roman" w:eastAsia="Times New Roman" w:hAnsi="Times New Roman" w:cs="Times New Roman"/>
      <w:kern w:val="0"/>
      <w:sz w:val="20"/>
      <w:szCs w:val="20"/>
      <w:lang w:eastAsia="es-ES_tradnl"/>
    </w:rPr>
  </w:style>
  <w:style w:type="paragraph" w:styleId="Pedmtkomente">
    <w:name w:val="annotation subject"/>
    <w:basedOn w:val="Textkomente"/>
    <w:next w:val="Textkomente"/>
    <w:link w:val="PedmtkomenteChar"/>
    <w:uiPriority w:val="99"/>
    <w:semiHidden/>
    <w:unhideWhenUsed/>
    <w:rsid w:val="0048041D"/>
    <w:rPr>
      <w:b/>
      <w:bCs/>
    </w:rPr>
  </w:style>
  <w:style w:type="character" w:customStyle="1" w:styleId="PedmtkomenteChar">
    <w:name w:val="Předmět komentáře Char"/>
    <w:basedOn w:val="TextkomenteChar"/>
    <w:link w:val="Pedmtkomente"/>
    <w:uiPriority w:val="99"/>
    <w:semiHidden/>
    <w:rsid w:val="0048041D"/>
    <w:rPr>
      <w:rFonts w:ascii="Times New Roman" w:eastAsia="Times New Roman" w:hAnsi="Times New Roman" w:cs="Times New Roman"/>
      <w:b/>
      <w:bCs/>
      <w:kern w:val="0"/>
      <w:sz w:val="20"/>
      <w:szCs w:val="20"/>
      <w:lang w:eastAsia="es-ES_tradnl"/>
    </w:rPr>
  </w:style>
  <w:style w:type="paragraph" w:styleId="Textbubliny">
    <w:name w:val="Balloon Text"/>
    <w:basedOn w:val="Normln"/>
    <w:link w:val="TextbublinyChar"/>
    <w:uiPriority w:val="99"/>
    <w:semiHidden/>
    <w:unhideWhenUsed/>
    <w:rsid w:val="0048041D"/>
    <w:rPr>
      <w:rFonts w:ascii="Tahoma" w:hAnsi="Tahoma" w:cs="Tahoma"/>
      <w:sz w:val="16"/>
      <w:szCs w:val="16"/>
    </w:rPr>
  </w:style>
  <w:style w:type="character" w:customStyle="1" w:styleId="TextbublinyChar">
    <w:name w:val="Text bubliny Char"/>
    <w:basedOn w:val="Standardnpsmoodstavce"/>
    <w:link w:val="Textbubliny"/>
    <w:uiPriority w:val="99"/>
    <w:semiHidden/>
    <w:rsid w:val="0048041D"/>
    <w:rPr>
      <w:rFonts w:ascii="Tahoma" w:eastAsia="Times New Roman" w:hAnsi="Tahoma" w:cs="Tahoma"/>
      <w:kern w:val="0"/>
      <w:sz w:val="16"/>
      <w:szCs w:val="16"/>
      <w:lang w:eastAsia="es-ES_tradnl"/>
    </w:rPr>
  </w:style>
  <w:style w:type="character" w:styleId="Nevyeenzmnka">
    <w:name w:val="Unresolved Mention"/>
    <w:basedOn w:val="Standardnpsmoodstavce"/>
    <w:uiPriority w:val="99"/>
    <w:semiHidden/>
    <w:unhideWhenUsed/>
    <w:rsid w:val="007D56D6"/>
    <w:rPr>
      <w:color w:val="605E5C"/>
      <w:shd w:val="clear" w:color="auto" w:fill="E1DFDD"/>
    </w:rPr>
  </w:style>
  <w:style w:type="character" w:styleId="Sledovanodkaz">
    <w:name w:val="FollowedHyperlink"/>
    <w:basedOn w:val="Standardnpsmoodstavce"/>
    <w:uiPriority w:val="99"/>
    <w:semiHidden/>
    <w:unhideWhenUsed/>
    <w:rsid w:val="001106A4"/>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20068">
      <w:bodyDiv w:val="1"/>
      <w:marLeft w:val="0"/>
      <w:marRight w:val="0"/>
      <w:marTop w:val="0"/>
      <w:marBottom w:val="0"/>
      <w:divBdr>
        <w:top w:val="none" w:sz="0" w:space="0" w:color="auto"/>
        <w:left w:val="none" w:sz="0" w:space="0" w:color="auto"/>
        <w:bottom w:val="none" w:sz="0" w:space="0" w:color="auto"/>
        <w:right w:val="none" w:sz="0" w:space="0" w:color="auto"/>
      </w:divBdr>
    </w:div>
    <w:div w:id="16392903">
      <w:bodyDiv w:val="1"/>
      <w:marLeft w:val="0"/>
      <w:marRight w:val="0"/>
      <w:marTop w:val="0"/>
      <w:marBottom w:val="0"/>
      <w:divBdr>
        <w:top w:val="none" w:sz="0" w:space="0" w:color="auto"/>
        <w:left w:val="none" w:sz="0" w:space="0" w:color="auto"/>
        <w:bottom w:val="none" w:sz="0" w:space="0" w:color="auto"/>
        <w:right w:val="none" w:sz="0" w:space="0" w:color="auto"/>
      </w:divBdr>
    </w:div>
    <w:div w:id="32772751">
      <w:bodyDiv w:val="1"/>
      <w:marLeft w:val="0"/>
      <w:marRight w:val="0"/>
      <w:marTop w:val="0"/>
      <w:marBottom w:val="0"/>
      <w:divBdr>
        <w:top w:val="none" w:sz="0" w:space="0" w:color="auto"/>
        <w:left w:val="none" w:sz="0" w:space="0" w:color="auto"/>
        <w:bottom w:val="none" w:sz="0" w:space="0" w:color="auto"/>
        <w:right w:val="none" w:sz="0" w:space="0" w:color="auto"/>
      </w:divBdr>
    </w:div>
    <w:div w:id="34089164">
      <w:bodyDiv w:val="1"/>
      <w:marLeft w:val="0"/>
      <w:marRight w:val="0"/>
      <w:marTop w:val="0"/>
      <w:marBottom w:val="0"/>
      <w:divBdr>
        <w:top w:val="none" w:sz="0" w:space="0" w:color="auto"/>
        <w:left w:val="none" w:sz="0" w:space="0" w:color="auto"/>
        <w:bottom w:val="none" w:sz="0" w:space="0" w:color="auto"/>
        <w:right w:val="none" w:sz="0" w:space="0" w:color="auto"/>
      </w:divBdr>
      <w:divsChild>
        <w:div w:id="1082875587">
          <w:marLeft w:val="0"/>
          <w:marRight w:val="0"/>
          <w:marTop w:val="0"/>
          <w:marBottom w:val="0"/>
          <w:divBdr>
            <w:top w:val="none" w:sz="0" w:space="0" w:color="auto"/>
            <w:left w:val="none" w:sz="0" w:space="0" w:color="auto"/>
            <w:bottom w:val="none" w:sz="0" w:space="0" w:color="auto"/>
            <w:right w:val="none" w:sz="0" w:space="0" w:color="auto"/>
          </w:divBdr>
          <w:divsChild>
            <w:div w:id="315425407">
              <w:marLeft w:val="0"/>
              <w:marRight w:val="0"/>
              <w:marTop w:val="0"/>
              <w:marBottom w:val="0"/>
              <w:divBdr>
                <w:top w:val="none" w:sz="0" w:space="0" w:color="auto"/>
                <w:left w:val="none" w:sz="0" w:space="0" w:color="auto"/>
                <w:bottom w:val="none" w:sz="0" w:space="0" w:color="auto"/>
                <w:right w:val="none" w:sz="0" w:space="0" w:color="auto"/>
              </w:divBdr>
              <w:divsChild>
                <w:div w:id="2022049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827049">
      <w:bodyDiv w:val="1"/>
      <w:marLeft w:val="0"/>
      <w:marRight w:val="0"/>
      <w:marTop w:val="0"/>
      <w:marBottom w:val="0"/>
      <w:divBdr>
        <w:top w:val="none" w:sz="0" w:space="0" w:color="auto"/>
        <w:left w:val="none" w:sz="0" w:space="0" w:color="auto"/>
        <w:bottom w:val="none" w:sz="0" w:space="0" w:color="auto"/>
        <w:right w:val="none" w:sz="0" w:space="0" w:color="auto"/>
      </w:divBdr>
      <w:divsChild>
        <w:div w:id="469785817">
          <w:marLeft w:val="0"/>
          <w:marRight w:val="0"/>
          <w:marTop w:val="0"/>
          <w:marBottom w:val="0"/>
          <w:divBdr>
            <w:top w:val="none" w:sz="0" w:space="0" w:color="auto"/>
            <w:left w:val="none" w:sz="0" w:space="0" w:color="auto"/>
            <w:bottom w:val="none" w:sz="0" w:space="0" w:color="auto"/>
            <w:right w:val="none" w:sz="0" w:space="0" w:color="auto"/>
          </w:divBdr>
          <w:divsChild>
            <w:div w:id="547186159">
              <w:marLeft w:val="0"/>
              <w:marRight w:val="0"/>
              <w:marTop w:val="0"/>
              <w:marBottom w:val="0"/>
              <w:divBdr>
                <w:top w:val="none" w:sz="0" w:space="0" w:color="auto"/>
                <w:left w:val="none" w:sz="0" w:space="0" w:color="auto"/>
                <w:bottom w:val="none" w:sz="0" w:space="0" w:color="auto"/>
                <w:right w:val="none" w:sz="0" w:space="0" w:color="auto"/>
              </w:divBdr>
              <w:divsChild>
                <w:div w:id="1772822047">
                  <w:marLeft w:val="0"/>
                  <w:marRight w:val="0"/>
                  <w:marTop w:val="0"/>
                  <w:marBottom w:val="0"/>
                  <w:divBdr>
                    <w:top w:val="none" w:sz="0" w:space="0" w:color="auto"/>
                    <w:left w:val="none" w:sz="0" w:space="0" w:color="auto"/>
                    <w:bottom w:val="none" w:sz="0" w:space="0" w:color="auto"/>
                    <w:right w:val="none" w:sz="0" w:space="0" w:color="auto"/>
                  </w:divBdr>
                  <w:divsChild>
                    <w:div w:id="1878423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7996466">
      <w:bodyDiv w:val="1"/>
      <w:marLeft w:val="0"/>
      <w:marRight w:val="0"/>
      <w:marTop w:val="0"/>
      <w:marBottom w:val="0"/>
      <w:divBdr>
        <w:top w:val="none" w:sz="0" w:space="0" w:color="auto"/>
        <w:left w:val="none" w:sz="0" w:space="0" w:color="auto"/>
        <w:bottom w:val="none" w:sz="0" w:space="0" w:color="auto"/>
        <w:right w:val="none" w:sz="0" w:space="0" w:color="auto"/>
      </w:divBdr>
    </w:div>
    <w:div w:id="121464815">
      <w:bodyDiv w:val="1"/>
      <w:marLeft w:val="0"/>
      <w:marRight w:val="0"/>
      <w:marTop w:val="0"/>
      <w:marBottom w:val="0"/>
      <w:divBdr>
        <w:top w:val="none" w:sz="0" w:space="0" w:color="auto"/>
        <w:left w:val="none" w:sz="0" w:space="0" w:color="auto"/>
        <w:bottom w:val="none" w:sz="0" w:space="0" w:color="auto"/>
        <w:right w:val="none" w:sz="0" w:space="0" w:color="auto"/>
      </w:divBdr>
    </w:div>
    <w:div w:id="163252956">
      <w:bodyDiv w:val="1"/>
      <w:marLeft w:val="0"/>
      <w:marRight w:val="0"/>
      <w:marTop w:val="0"/>
      <w:marBottom w:val="0"/>
      <w:divBdr>
        <w:top w:val="none" w:sz="0" w:space="0" w:color="auto"/>
        <w:left w:val="none" w:sz="0" w:space="0" w:color="auto"/>
        <w:bottom w:val="none" w:sz="0" w:space="0" w:color="auto"/>
        <w:right w:val="none" w:sz="0" w:space="0" w:color="auto"/>
      </w:divBdr>
    </w:div>
    <w:div w:id="181015081">
      <w:bodyDiv w:val="1"/>
      <w:marLeft w:val="0"/>
      <w:marRight w:val="0"/>
      <w:marTop w:val="0"/>
      <w:marBottom w:val="0"/>
      <w:divBdr>
        <w:top w:val="none" w:sz="0" w:space="0" w:color="auto"/>
        <w:left w:val="none" w:sz="0" w:space="0" w:color="auto"/>
        <w:bottom w:val="none" w:sz="0" w:space="0" w:color="auto"/>
        <w:right w:val="none" w:sz="0" w:space="0" w:color="auto"/>
      </w:divBdr>
    </w:div>
    <w:div w:id="203950687">
      <w:bodyDiv w:val="1"/>
      <w:marLeft w:val="0"/>
      <w:marRight w:val="0"/>
      <w:marTop w:val="0"/>
      <w:marBottom w:val="0"/>
      <w:divBdr>
        <w:top w:val="none" w:sz="0" w:space="0" w:color="auto"/>
        <w:left w:val="none" w:sz="0" w:space="0" w:color="auto"/>
        <w:bottom w:val="none" w:sz="0" w:space="0" w:color="auto"/>
        <w:right w:val="none" w:sz="0" w:space="0" w:color="auto"/>
      </w:divBdr>
    </w:div>
    <w:div w:id="213590933">
      <w:bodyDiv w:val="1"/>
      <w:marLeft w:val="0"/>
      <w:marRight w:val="0"/>
      <w:marTop w:val="0"/>
      <w:marBottom w:val="0"/>
      <w:divBdr>
        <w:top w:val="none" w:sz="0" w:space="0" w:color="auto"/>
        <w:left w:val="none" w:sz="0" w:space="0" w:color="auto"/>
        <w:bottom w:val="none" w:sz="0" w:space="0" w:color="auto"/>
        <w:right w:val="none" w:sz="0" w:space="0" w:color="auto"/>
      </w:divBdr>
    </w:div>
    <w:div w:id="247034191">
      <w:bodyDiv w:val="1"/>
      <w:marLeft w:val="0"/>
      <w:marRight w:val="0"/>
      <w:marTop w:val="0"/>
      <w:marBottom w:val="0"/>
      <w:divBdr>
        <w:top w:val="none" w:sz="0" w:space="0" w:color="auto"/>
        <w:left w:val="none" w:sz="0" w:space="0" w:color="auto"/>
        <w:bottom w:val="none" w:sz="0" w:space="0" w:color="auto"/>
        <w:right w:val="none" w:sz="0" w:space="0" w:color="auto"/>
      </w:divBdr>
    </w:div>
    <w:div w:id="259874520">
      <w:bodyDiv w:val="1"/>
      <w:marLeft w:val="0"/>
      <w:marRight w:val="0"/>
      <w:marTop w:val="0"/>
      <w:marBottom w:val="0"/>
      <w:divBdr>
        <w:top w:val="none" w:sz="0" w:space="0" w:color="auto"/>
        <w:left w:val="none" w:sz="0" w:space="0" w:color="auto"/>
        <w:bottom w:val="none" w:sz="0" w:space="0" w:color="auto"/>
        <w:right w:val="none" w:sz="0" w:space="0" w:color="auto"/>
      </w:divBdr>
    </w:div>
    <w:div w:id="262963031">
      <w:bodyDiv w:val="1"/>
      <w:marLeft w:val="0"/>
      <w:marRight w:val="0"/>
      <w:marTop w:val="0"/>
      <w:marBottom w:val="0"/>
      <w:divBdr>
        <w:top w:val="none" w:sz="0" w:space="0" w:color="auto"/>
        <w:left w:val="none" w:sz="0" w:space="0" w:color="auto"/>
        <w:bottom w:val="none" w:sz="0" w:space="0" w:color="auto"/>
        <w:right w:val="none" w:sz="0" w:space="0" w:color="auto"/>
      </w:divBdr>
    </w:div>
    <w:div w:id="340740083">
      <w:bodyDiv w:val="1"/>
      <w:marLeft w:val="0"/>
      <w:marRight w:val="0"/>
      <w:marTop w:val="0"/>
      <w:marBottom w:val="0"/>
      <w:divBdr>
        <w:top w:val="none" w:sz="0" w:space="0" w:color="auto"/>
        <w:left w:val="none" w:sz="0" w:space="0" w:color="auto"/>
        <w:bottom w:val="none" w:sz="0" w:space="0" w:color="auto"/>
        <w:right w:val="none" w:sz="0" w:space="0" w:color="auto"/>
      </w:divBdr>
    </w:div>
    <w:div w:id="373653344">
      <w:bodyDiv w:val="1"/>
      <w:marLeft w:val="0"/>
      <w:marRight w:val="0"/>
      <w:marTop w:val="0"/>
      <w:marBottom w:val="0"/>
      <w:divBdr>
        <w:top w:val="none" w:sz="0" w:space="0" w:color="auto"/>
        <w:left w:val="none" w:sz="0" w:space="0" w:color="auto"/>
        <w:bottom w:val="none" w:sz="0" w:space="0" w:color="auto"/>
        <w:right w:val="none" w:sz="0" w:space="0" w:color="auto"/>
      </w:divBdr>
    </w:div>
    <w:div w:id="398141349">
      <w:bodyDiv w:val="1"/>
      <w:marLeft w:val="0"/>
      <w:marRight w:val="0"/>
      <w:marTop w:val="0"/>
      <w:marBottom w:val="0"/>
      <w:divBdr>
        <w:top w:val="none" w:sz="0" w:space="0" w:color="auto"/>
        <w:left w:val="none" w:sz="0" w:space="0" w:color="auto"/>
        <w:bottom w:val="none" w:sz="0" w:space="0" w:color="auto"/>
        <w:right w:val="none" w:sz="0" w:space="0" w:color="auto"/>
      </w:divBdr>
    </w:div>
    <w:div w:id="435946580">
      <w:bodyDiv w:val="1"/>
      <w:marLeft w:val="0"/>
      <w:marRight w:val="0"/>
      <w:marTop w:val="0"/>
      <w:marBottom w:val="0"/>
      <w:divBdr>
        <w:top w:val="none" w:sz="0" w:space="0" w:color="auto"/>
        <w:left w:val="none" w:sz="0" w:space="0" w:color="auto"/>
        <w:bottom w:val="none" w:sz="0" w:space="0" w:color="auto"/>
        <w:right w:val="none" w:sz="0" w:space="0" w:color="auto"/>
      </w:divBdr>
      <w:divsChild>
        <w:div w:id="2031907698">
          <w:marLeft w:val="0"/>
          <w:marRight w:val="0"/>
          <w:marTop w:val="0"/>
          <w:marBottom w:val="0"/>
          <w:divBdr>
            <w:top w:val="none" w:sz="0" w:space="0" w:color="auto"/>
            <w:left w:val="none" w:sz="0" w:space="0" w:color="auto"/>
            <w:bottom w:val="none" w:sz="0" w:space="0" w:color="auto"/>
            <w:right w:val="none" w:sz="0" w:space="0" w:color="auto"/>
          </w:divBdr>
        </w:div>
      </w:divsChild>
    </w:div>
    <w:div w:id="452675487">
      <w:bodyDiv w:val="1"/>
      <w:marLeft w:val="0"/>
      <w:marRight w:val="0"/>
      <w:marTop w:val="0"/>
      <w:marBottom w:val="0"/>
      <w:divBdr>
        <w:top w:val="none" w:sz="0" w:space="0" w:color="auto"/>
        <w:left w:val="none" w:sz="0" w:space="0" w:color="auto"/>
        <w:bottom w:val="none" w:sz="0" w:space="0" w:color="auto"/>
        <w:right w:val="none" w:sz="0" w:space="0" w:color="auto"/>
      </w:divBdr>
    </w:div>
    <w:div w:id="464466345">
      <w:bodyDiv w:val="1"/>
      <w:marLeft w:val="0"/>
      <w:marRight w:val="0"/>
      <w:marTop w:val="0"/>
      <w:marBottom w:val="0"/>
      <w:divBdr>
        <w:top w:val="none" w:sz="0" w:space="0" w:color="auto"/>
        <w:left w:val="none" w:sz="0" w:space="0" w:color="auto"/>
        <w:bottom w:val="none" w:sz="0" w:space="0" w:color="auto"/>
        <w:right w:val="none" w:sz="0" w:space="0" w:color="auto"/>
      </w:divBdr>
      <w:divsChild>
        <w:div w:id="1362513286">
          <w:marLeft w:val="0"/>
          <w:marRight w:val="0"/>
          <w:marTop w:val="0"/>
          <w:marBottom w:val="0"/>
          <w:divBdr>
            <w:top w:val="none" w:sz="0" w:space="0" w:color="auto"/>
            <w:left w:val="none" w:sz="0" w:space="0" w:color="auto"/>
            <w:bottom w:val="none" w:sz="0" w:space="0" w:color="auto"/>
            <w:right w:val="none" w:sz="0" w:space="0" w:color="auto"/>
          </w:divBdr>
          <w:divsChild>
            <w:div w:id="2021656268">
              <w:marLeft w:val="0"/>
              <w:marRight w:val="0"/>
              <w:marTop w:val="0"/>
              <w:marBottom w:val="0"/>
              <w:divBdr>
                <w:top w:val="none" w:sz="0" w:space="0" w:color="auto"/>
                <w:left w:val="none" w:sz="0" w:space="0" w:color="auto"/>
                <w:bottom w:val="none" w:sz="0" w:space="0" w:color="auto"/>
                <w:right w:val="none" w:sz="0" w:space="0" w:color="auto"/>
              </w:divBdr>
              <w:divsChild>
                <w:div w:id="17831077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70486702">
      <w:bodyDiv w:val="1"/>
      <w:marLeft w:val="0"/>
      <w:marRight w:val="0"/>
      <w:marTop w:val="0"/>
      <w:marBottom w:val="0"/>
      <w:divBdr>
        <w:top w:val="none" w:sz="0" w:space="0" w:color="auto"/>
        <w:left w:val="none" w:sz="0" w:space="0" w:color="auto"/>
        <w:bottom w:val="none" w:sz="0" w:space="0" w:color="auto"/>
        <w:right w:val="none" w:sz="0" w:space="0" w:color="auto"/>
      </w:divBdr>
    </w:div>
    <w:div w:id="474569037">
      <w:bodyDiv w:val="1"/>
      <w:marLeft w:val="0"/>
      <w:marRight w:val="0"/>
      <w:marTop w:val="0"/>
      <w:marBottom w:val="0"/>
      <w:divBdr>
        <w:top w:val="none" w:sz="0" w:space="0" w:color="auto"/>
        <w:left w:val="none" w:sz="0" w:space="0" w:color="auto"/>
        <w:bottom w:val="none" w:sz="0" w:space="0" w:color="auto"/>
        <w:right w:val="none" w:sz="0" w:space="0" w:color="auto"/>
      </w:divBdr>
    </w:div>
    <w:div w:id="526606153">
      <w:bodyDiv w:val="1"/>
      <w:marLeft w:val="0"/>
      <w:marRight w:val="0"/>
      <w:marTop w:val="0"/>
      <w:marBottom w:val="0"/>
      <w:divBdr>
        <w:top w:val="none" w:sz="0" w:space="0" w:color="auto"/>
        <w:left w:val="none" w:sz="0" w:space="0" w:color="auto"/>
        <w:bottom w:val="none" w:sz="0" w:space="0" w:color="auto"/>
        <w:right w:val="none" w:sz="0" w:space="0" w:color="auto"/>
      </w:divBdr>
    </w:div>
    <w:div w:id="547692164">
      <w:bodyDiv w:val="1"/>
      <w:marLeft w:val="0"/>
      <w:marRight w:val="0"/>
      <w:marTop w:val="0"/>
      <w:marBottom w:val="0"/>
      <w:divBdr>
        <w:top w:val="none" w:sz="0" w:space="0" w:color="auto"/>
        <w:left w:val="none" w:sz="0" w:space="0" w:color="auto"/>
        <w:bottom w:val="none" w:sz="0" w:space="0" w:color="auto"/>
        <w:right w:val="none" w:sz="0" w:space="0" w:color="auto"/>
      </w:divBdr>
      <w:divsChild>
        <w:div w:id="1878010103">
          <w:marLeft w:val="0"/>
          <w:marRight w:val="0"/>
          <w:marTop w:val="0"/>
          <w:marBottom w:val="0"/>
          <w:divBdr>
            <w:top w:val="none" w:sz="0" w:space="0" w:color="auto"/>
            <w:left w:val="none" w:sz="0" w:space="0" w:color="auto"/>
            <w:bottom w:val="none" w:sz="0" w:space="0" w:color="auto"/>
            <w:right w:val="none" w:sz="0" w:space="0" w:color="auto"/>
          </w:divBdr>
          <w:divsChild>
            <w:div w:id="1722708963">
              <w:marLeft w:val="0"/>
              <w:marRight w:val="0"/>
              <w:marTop w:val="0"/>
              <w:marBottom w:val="0"/>
              <w:divBdr>
                <w:top w:val="none" w:sz="0" w:space="0" w:color="auto"/>
                <w:left w:val="none" w:sz="0" w:space="0" w:color="auto"/>
                <w:bottom w:val="none" w:sz="0" w:space="0" w:color="auto"/>
                <w:right w:val="none" w:sz="0" w:space="0" w:color="auto"/>
              </w:divBdr>
              <w:divsChild>
                <w:div w:id="10746612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1237088">
      <w:bodyDiv w:val="1"/>
      <w:marLeft w:val="0"/>
      <w:marRight w:val="0"/>
      <w:marTop w:val="0"/>
      <w:marBottom w:val="0"/>
      <w:divBdr>
        <w:top w:val="none" w:sz="0" w:space="0" w:color="auto"/>
        <w:left w:val="none" w:sz="0" w:space="0" w:color="auto"/>
        <w:bottom w:val="none" w:sz="0" w:space="0" w:color="auto"/>
        <w:right w:val="none" w:sz="0" w:space="0" w:color="auto"/>
      </w:divBdr>
    </w:div>
    <w:div w:id="632372051">
      <w:bodyDiv w:val="1"/>
      <w:marLeft w:val="0"/>
      <w:marRight w:val="0"/>
      <w:marTop w:val="0"/>
      <w:marBottom w:val="0"/>
      <w:divBdr>
        <w:top w:val="none" w:sz="0" w:space="0" w:color="auto"/>
        <w:left w:val="none" w:sz="0" w:space="0" w:color="auto"/>
        <w:bottom w:val="none" w:sz="0" w:space="0" w:color="auto"/>
        <w:right w:val="none" w:sz="0" w:space="0" w:color="auto"/>
      </w:divBdr>
      <w:divsChild>
        <w:div w:id="2128888417">
          <w:marLeft w:val="0"/>
          <w:marRight w:val="0"/>
          <w:marTop w:val="0"/>
          <w:marBottom w:val="0"/>
          <w:divBdr>
            <w:top w:val="none" w:sz="0" w:space="0" w:color="auto"/>
            <w:left w:val="none" w:sz="0" w:space="0" w:color="auto"/>
            <w:bottom w:val="none" w:sz="0" w:space="0" w:color="auto"/>
            <w:right w:val="none" w:sz="0" w:space="0" w:color="auto"/>
          </w:divBdr>
        </w:div>
      </w:divsChild>
    </w:div>
    <w:div w:id="688336990">
      <w:bodyDiv w:val="1"/>
      <w:marLeft w:val="0"/>
      <w:marRight w:val="0"/>
      <w:marTop w:val="0"/>
      <w:marBottom w:val="0"/>
      <w:divBdr>
        <w:top w:val="none" w:sz="0" w:space="0" w:color="auto"/>
        <w:left w:val="none" w:sz="0" w:space="0" w:color="auto"/>
        <w:bottom w:val="none" w:sz="0" w:space="0" w:color="auto"/>
        <w:right w:val="none" w:sz="0" w:space="0" w:color="auto"/>
      </w:divBdr>
    </w:div>
    <w:div w:id="704138026">
      <w:bodyDiv w:val="1"/>
      <w:marLeft w:val="0"/>
      <w:marRight w:val="0"/>
      <w:marTop w:val="0"/>
      <w:marBottom w:val="0"/>
      <w:divBdr>
        <w:top w:val="none" w:sz="0" w:space="0" w:color="auto"/>
        <w:left w:val="none" w:sz="0" w:space="0" w:color="auto"/>
        <w:bottom w:val="none" w:sz="0" w:space="0" w:color="auto"/>
        <w:right w:val="none" w:sz="0" w:space="0" w:color="auto"/>
      </w:divBdr>
    </w:div>
    <w:div w:id="721367470">
      <w:bodyDiv w:val="1"/>
      <w:marLeft w:val="0"/>
      <w:marRight w:val="0"/>
      <w:marTop w:val="0"/>
      <w:marBottom w:val="0"/>
      <w:divBdr>
        <w:top w:val="none" w:sz="0" w:space="0" w:color="auto"/>
        <w:left w:val="none" w:sz="0" w:space="0" w:color="auto"/>
        <w:bottom w:val="none" w:sz="0" w:space="0" w:color="auto"/>
        <w:right w:val="none" w:sz="0" w:space="0" w:color="auto"/>
      </w:divBdr>
      <w:divsChild>
        <w:div w:id="2082756135">
          <w:marLeft w:val="0"/>
          <w:marRight w:val="0"/>
          <w:marTop w:val="0"/>
          <w:marBottom w:val="0"/>
          <w:divBdr>
            <w:top w:val="none" w:sz="0" w:space="0" w:color="auto"/>
            <w:left w:val="none" w:sz="0" w:space="0" w:color="auto"/>
            <w:bottom w:val="none" w:sz="0" w:space="0" w:color="auto"/>
            <w:right w:val="none" w:sz="0" w:space="0" w:color="auto"/>
          </w:divBdr>
          <w:divsChild>
            <w:div w:id="1562595901">
              <w:marLeft w:val="0"/>
              <w:marRight w:val="0"/>
              <w:marTop w:val="0"/>
              <w:marBottom w:val="0"/>
              <w:divBdr>
                <w:top w:val="none" w:sz="0" w:space="0" w:color="auto"/>
                <w:left w:val="none" w:sz="0" w:space="0" w:color="auto"/>
                <w:bottom w:val="none" w:sz="0" w:space="0" w:color="auto"/>
                <w:right w:val="none" w:sz="0" w:space="0" w:color="auto"/>
              </w:divBdr>
              <w:divsChild>
                <w:div w:id="173307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07480248">
      <w:bodyDiv w:val="1"/>
      <w:marLeft w:val="0"/>
      <w:marRight w:val="0"/>
      <w:marTop w:val="0"/>
      <w:marBottom w:val="0"/>
      <w:divBdr>
        <w:top w:val="none" w:sz="0" w:space="0" w:color="auto"/>
        <w:left w:val="none" w:sz="0" w:space="0" w:color="auto"/>
        <w:bottom w:val="none" w:sz="0" w:space="0" w:color="auto"/>
        <w:right w:val="none" w:sz="0" w:space="0" w:color="auto"/>
      </w:divBdr>
    </w:div>
    <w:div w:id="815223615">
      <w:bodyDiv w:val="1"/>
      <w:marLeft w:val="0"/>
      <w:marRight w:val="0"/>
      <w:marTop w:val="0"/>
      <w:marBottom w:val="0"/>
      <w:divBdr>
        <w:top w:val="none" w:sz="0" w:space="0" w:color="auto"/>
        <w:left w:val="none" w:sz="0" w:space="0" w:color="auto"/>
        <w:bottom w:val="none" w:sz="0" w:space="0" w:color="auto"/>
        <w:right w:val="none" w:sz="0" w:space="0" w:color="auto"/>
      </w:divBdr>
    </w:div>
    <w:div w:id="825706981">
      <w:bodyDiv w:val="1"/>
      <w:marLeft w:val="0"/>
      <w:marRight w:val="0"/>
      <w:marTop w:val="0"/>
      <w:marBottom w:val="0"/>
      <w:divBdr>
        <w:top w:val="none" w:sz="0" w:space="0" w:color="auto"/>
        <w:left w:val="none" w:sz="0" w:space="0" w:color="auto"/>
        <w:bottom w:val="none" w:sz="0" w:space="0" w:color="auto"/>
        <w:right w:val="none" w:sz="0" w:space="0" w:color="auto"/>
      </w:divBdr>
    </w:div>
    <w:div w:id="842863709">
      <w:bodyDiv w:val="1"/>
      <w:marLeft w:val="0"/>
      <w:marRight w:val="0"/>
      <w:marTop w:val="0"/>
      <w:marBottom w:val="0"/>
      <w:divBdr>
        <w:top w:val="none" w:sz="0" w:space="0" w:color="auto"/>
        <w:left w:val="none" w:sz="0" w:space="0" w:color="auto"/>
        <w:bottom w:val="none" w:sz="0" w:space="0" w:color="auto"/>
        <w:right w:val="none" w:sz="0" w:space="0" w:color="auto"/>
      </w:divBdr>
    </w:div>
    <w:div w:id="843128760">
      <w:bodyDiv w:val="1"/>
      <w:marLeft w:val="0"/>
      <w:marRight w:val="0"/>
      <w:marTop w:val="0"/>
      <w:marBottom w:val="0"/>
      <w:divBdr>
        <w:top w:val="none" w:sz="0" w:space="0" w:color="auto"/>
        <w:left w:val="none" w:sz="0" w:space="0" w:color="auto"/>
        <w:bottom w:val="none" w:sz="0" w:space="0" w:color="auto"/>
        <w:right w:val="none" w:sz="0" w:space="0" w:color="auto"/>
      </w:divBdr>
    </w:div>
    <w:div w:id="843203243">
      <w:bodyDiv w:val="1"/>
      <w:marLeft w:val="0"/>
      <w:marRight w:val="0"/>
      <w:marTop w:val="0"/>
      <w:marBottom w:val="0"/>
      <w:divBdr>
        <w:top w:val="none" w:sz="0" w:space="0" w:color="auto"/>
        <w:left w:val="none" w:sz="0" w:space="0" w:color="auto"/>
        <w:bottom w:val="none" w:sz="0" w:space="0" w:color="auto"/>
        <w:right w:val="none" w:sz="0" w:space="0" w:color="auto"/>
      </w:divBdr>
      <w:divsChild>
        <w:div w:id="900486495">
          <w:marLeft w:val="0"/>
          <w:marRight w:val="0"/>
          <w:marTop w:val="0"/>
          <w:marBottom w:val="0"/>
          <w:divBdr>
            <w:top w:val="none" w:sz="0" w:space="0" w:color="auto"/>
            <w:left w:val="none" w:sz="0" w:space="0" w:color="auto"/>
            <w:bottom w:val="none" w:sz="0" w:space="0" w:color="auto"/>
            <w:right w:val="none" w:sz="0" w:space="0" w:color="auto"/>
          </w:divBdr>
        </w:div>
      </w:divsChild>
    </w:div>
    <w:div w:id="893126414">
      <w:bodyDiv w:val="1"/>
      <w:marLeft w:val="0"/>
      <w:marRight w:val="0"/>
      <w:marTop w:val="0"/>
      <w:marBottom w:val="0"/>
      <w:divBdr>
        <w:top w:val="none" w:sz="0" w:space="0" w:color="auto"/>
        <w:left w:val="none" w:sz="0" w:space="0" w:color="auto"/>
        <w:bottom w:val="none" w:sz="0" w:space="0" w:color="auto"/>
        <w:right w:val="none" w:sz="0" w:space="0" w:color="auto"/>
      </w:divBdr>
    </w:div>
    <w:div w:id="1049768761">
      <w:bodyDiv w:val="1"/>
      <w:marLeft w:val="0"/>
      <w:marRight w:val="0"/>
      <w:marTop w:val="0"/>
      <w:marBottom w:val="0"/>
      <w:divBdr>
        <w:top w:val="none" w:sz="0" w:space="0" w:color="auto"/>
        <w:left w:val="none" w:sz="0" w:space="0" w:color="auto"/>
        <w:bottom w:val="none" w:sz="0" w:space="0" w:color="auto"/>
        <w:right w:val="none" w:sz="0" w:space="0" w:color="auto"/>
      </w:divBdr>
      <w:divsChild>
        <w:div w:id="179660996">
          <w:marLeft w:val="0"/>
          <w:marRight w:val="0"/>
          <w:marTop w:val="0"/>
          <w:marBottom w:val="0"/>
          <w:divBdr>
            <w:top w:val="none" w:sz="0" w:space="0" w:color="auto"/>
            <w:left w:val="none" w:sz="0" w:space="0" w:color="auto"/>
            <w:bottom w:val="none" w:sz="0" w:space="0" w:color="auto"/>
            <w:right w:val="none" w:sz="0" w:space="0" w:color="auto"/>
          </w:divBdr>
          <w:divsChild>
            <w:div w:id="651063464">
              <w:marLeft w:val="0"/>
              <w:marRight w:val="0"/>
              <w:marTop w:val="0"/>
              <w:marBottom w:val="0"/>
              <w:divBdr>
                <w:top w:val="none" w:sz="0" w:space="0" w:color="auto"/>
                <w:left w:val="none" w:sz="0" w:space="0" w:color="auto"/>
                <w:bottom w:val="none" w:sz="0" w:space="0" w:color="auto"/>
                <w:right w:val="none" w:sz="0" w:space="0" w:color="auto"/>
              </w:divBdr>
              <w:divsChild>
                <w:div w:id="11134036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5274033">
      <w:bodyDiv w:val="1"/>
      <w:marLeft w:val="0"/>
      <w:marRight w:val="0"/>
      <w:marTop w:val="0"/>
      <w:marBottom w:val="0"/>
      <w:divBdr>
        <w:top w:val="none" w:sz="0" w:space="0" w:color="auto"/>
        <w:left w:val="none" w:sz="0" w:space="0" w:color="auto"/>
        <w:bottom w:val="none" w:sz="0" w:space="0" w:color="auto"/>
        <w:right w:val="none" w:sz="0" w:space="0" w:color="auto"/>
      </w:divBdr>
    </w:div>
    <w:div w:id="1059087869">
      <w:bodyDiv w:val="1"/>
      <w:marLeft w:val="0"/>
      <w:marRight w:val="0"/>
      <w:marTop w:val="0"/>
      <w:marBottom w:val="0"/>
      <w:divBdr>
        <w:top w:val="none" w:sz="0" w:space="0" w:color="auto"/>
        <w:left w:val="none" w:sz="0" w:space="0" w:color="auto"/>
        <w:bottom w:val="none" w:sz="0" w:space="0" w:color="auto"/>
        <w:right w:val="none" w:sz="0" w:space="0" w:color="auto"/>
      </w:divBdr>
    </w:div>
    <w:div w:id="1142817636">
      <w:bodyDiv w:val="1"/>
      <w:marLeft w:val="0"/>
      <w:marRight w:val="0"/>
      <w:marTop w:val="0"/>
      <w:marBottom w:val="0"/>
      <w:divBdr>
        <w:top w:val="none" w:sz="0" w:space="0" w:color="auto"/>
        <w:left w:val="none" w:sz="0" w:space="0" w:color="auto"/>
        <w:bottom w:val="none" w:sz="0" w:space="0" w:color="auto"/>
        <w:right w:val="none" w:sz="0" w:space="0" w:color="auto"/>
      </w:divBdr>
      <w:divsChild>
        <w:div w:id="1573541529">
          <w:marLeft w:val="0"/>
          <w:marRight w:val="0"/>
          <w:marTop w:val="0"/>
          <w:marBottom w:val="0"/>
          <w:divBdr>
            <w:top w:val="none" w:sz="0" w:space="0" w:color="auto"/>
            <w:left w:val="none" w:sz="0" w:space="0" w:color="auto"/>
            <w:bottom w:val="none" w:sz="0" w:space="0" w:color="auto"/>
            <w:right w:val="none" w:sz="0" w:space="0" w:color="auto"/>
          </w:divBdr>
          <w:divsChild>
            <w:div w:id="159588944">
              <w:marLeft w:val="0"/>
              <w:marRight w:val="0"/>
              <w:marTop w:val="0"/>
              <w:marBottom w:val="0"/>
              <w:divBdr>
                <w:top w:val="none" w:sz="0" w:space="0" w:color="auto"/>
                <w:left w:val="none" w:sz="0" w:space="0" w:color="auto"/>
                <w:bottom w:val="none" w:sz="0" w:space="0" w:color="auto"/>
                <w:right w:val="none" w:sz="0" w:space="0" w:color="auto"/>
              </w:divBdr>
              <w:divsChild>
                <w:div w:id="2343166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51755243">
      <w:bodyDiv w:val="1"/>
      <w:marLeft w:val="0"/>
      <w:marRight w:val="0"/>
      <w:marTop w:val="0"/>
      <w:marBottom w:val="0"/>
      <w:divBdr>
        <w:top w:val="none" w:sz="0" w:space="0" w:color="auto"/>
        <w:left w:val="none" w:sz="0" w:space="0" w:color="auto"/>
        <w:bottom w:val="none" w:sz="0" w:space="0" w:color="auto"/>
        <w:right w:val="none" w:sz="0" w:space="0" w:color="auto"/>
      </w:divBdr>
      <w:divsChild>
        <w:div w:id="430786764">
          <w:marLeft w:val="0"/>
          <w:marRight w:val="0"/>
          <w:marTop w:val="0"/>
          <w:marBottom w:val="0"/>
          <w:divBdr>
            <w:top w:val="none" w:sz="0" w:space="0" w:color="auto"/>
            <w:left w:val="none" w:sz="0" w:space="0" w:color="auto"/>
            <w:bottom w:val="none" w:sz="0" w:space="0" w:color="auto"/>
            <w:right w:val="none" w:sz="0" w:space="0" w:color="auto"/>
          </w:divBdr>
          <w:divsChild>
            <w:div w:id="273025836">
              <w:marLeft w:val="0"/>
              <w:marRight w:val="0"/>
              <w:marTop w:val="0"/>
              <w:marBottom w:val="0"/>
              <w:divBdr>
                <w:top w:val="none" w:sz="0" w:space="0" w:color="auto"/>
                <w:left w:val="none" w:sz="0" w:space="0" w:color="auto"/>
                <w:bottom w:val="none" w:sz="0" w:space="0" w:color="auto"/>
                <w:right w:val="none" w:sz="0" w:space="0" w:color="auto"/>
              </w:divBdr>
              <w:divsChild>
                <w:div w:id="15160678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5931910">
      <w:bodyDiv w:val="1"/>
      <w:marLeft w:val="0"/>
      <w:marRight w:val="0"/>
      <w:marTop w:val="0"/>
      <w:marBottom w:val="0"/>
      <w:divBdr>
        <w:top w:val="none" w:sz="0" w:space="0" w:color="auto"/>
        <w:left w:val="none" w:sz="0" w:space="0" w:color="auto"/>
        <w:bottom w:val="none" w:sz="0" w:space="0" w:color="auto"/>
        <w:right w:val="none" w:sz="0" w:space="0" w:color="auto"/>
      </w:divBdr>
      <w:divsChild>
        <w:div w:id="532501909">
          <w:marLeft w:val="0"/>
          <w:marRight w:val="0"/>
          <w:marTop w:val="0"/>
          <w:marBottom w:val="0"/>
          <w:divBdr>
            <w:top w:val="none" w:sz="0" w:space="0" w:color="auto"/>
            <w:left w:val="none" w:sz="0" w:space="0" w:color="auto"/>
            <w:bottom w:val="none" w:sz="0" w:space="0" w:color="auto"/>
            <w:right w:val="none" w:sz="0" w:space="0" w:color="auto"/>
          </w:divBdr>
        </w:div>
      </w:divsChild>
    </w:div>
    <w:div w:id="1361738100">
      <w:bodyDiv w:val="1"/>
      <w:marLeft w:val="0"/>
      <w:marRight w:val="0"/>
      <w:marTop w:val="0"/>
      <w:marBottom w:val="0"/>
      <w:divBdr>
        <w:top w:val="none" w:sz="0" w:space="0" w:color="auto"/>
        <w:left w:val="none" w:sz="0" w:space="0" w:color="auto"/>
        <w:bottom w:val="none" w:sz="0" w:space="0" w:color="auto"/>
        <w:right w:val="none" w:sz="0" w:space="0" w:color="auto"/>
      </w:divBdr>
    </w:div>
    <w:div w:id="1394619482">
      <w:bodyDiv w:val="1"/>
      <w:marLeft w:val="0"/>
      <w:marRight w:val="0"/>
      <w:marTop w:val="0"/>
      <w:marBottom w:val="0"/>
      <w:divBdr>
        <w:top w:val="none" w:sz="0" w:space="0" w:color="auto"/>
        <w:left w:val="none" w:sz="0" w:space="0" w:color="auto"/>
        <w:bottom w:val="none" w:sz="0" w:space="0" w:color="auto"/>
        <w:right w:val="none" w:sz="0" w:space="0" w:color="auto"/>
      </w:divBdr>
    </w:div>
    <w:div w:id="1395080923">
      <w:bodyDiv w:val="1"/>
      <w:marLeft w:val="0"/>
      <w:marRight w:val="0"/>
      <w:marTop w:val="0"/>
      <w:marBottom w:val="0"/>
      <w:divBdr>
        <w:top w:val="none" w:sz="0" w:space="0" w:color="auto"/>
        <w:left w:val="none" w:sz="0" w:space="0" w:color="auto"/>
        <w:bottom w:val="none" w:sz="0" w:space="0" w:color="auto"/>
        <w:right w:val="none" w:sz="0" w:space="0" w:color="auto"/>
      </w:divBdr>
    </w:div>
    <w:div w:id="1420564191">
      <w:bodyDiv w:val="1"/>
      <w:marLeft w:val="0"/>
      <w:marRight w:val="0"/>
      <w:marTop w:val="0"/>
      <w:marBottom w:val="0"/>
      <w:divBdr>
        <w:top w:val="none" w:sz="0" w:space="0" w:color="auto"/>
        <w:left w:val="none" w:sz="0" w:space="0" w:color="auto"/>
        <w:bottom w:val="none" w:sz="0" w:space="0" w:color="auto"/>
        <w:right w:val="none" w:sz="0" w:space="0" w:color="auto"/>
      </w:divBdr>
    </w:div>
    <w:div w:id="1454061642">
      <w:bodyDiv w:val="1"/>
      <w:marLeft w:val="0"/>
      <w:marRight w:val="0"/>
      <w:marTop w:val="0"/>
      <w:marBottom w:val="0"/>
      <w:divBdr>
        <w:top w:val="none" w:sz="0" w:space="0" w:color="auto"/>
        <w:left w:val="none" w:sz="0" w:space="0" w:color="auto"/>
        <w:bottom w:val="none" w:sz="0" w:space="0" w:color="auto"/>
        <w:right w:val="none" w:sz="0" w:space="0" w:color="auto"/>
      </w:divBdr>
      <w:divsChild>
        <w:div w:id="1480343949">
          <w:marLeft w:val="0"/>
          <w:marRight w:val="0"/>
          <w:marTop w:val="0"/>
          <w:marBottom w:val="0"/>
          <w:divBdr>
            <w:top w:val="none" w:sz="0" w:space="0" w:color="auto"/>
            <w:left w:val="none" w:sz="0" w:space="0" w:color="auto"/>
            <w:bottom w:val="none" w:sz="0" w:space="0" w:color="auto"/>
            <w:right w:val="none" w:sz="0" w:space="0" w:color="auto"/>
          </w:divBdr>
          <w:divsChild>
            <w:div w:id="1620529176">
              <w:marLeft w:val="0"/>
              <w:marRight w:val="0"/>
              <w:marTop w:val="0"/>
              <w:marBottom w:val="0"/>
              <w:divBdr>
                <w:top w:val="none" w:sz="0" w:space="0" w:color="auto"/>
                <w:left w:val="none" w:sz="0" w:space="0" w:color="auto"/>
                <w:bottom w:val="none" w:sz="0" w:space="0" w:color="auto"/>
                <w:right w:val="none" w:sz="0" w:space="0" w:color="auto"/>
              </w:divBdr>
              <w:divsChild>
                <w:div w:id="5349729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2532257">
      <w:bodyDiv w:val="1"/>
      <w:marLeft w:val="0"/>
      <w:marRight w:val="0"/>
      <w:marTop w:val="0"/>
      <w:marBottom w:val="0"/>
      <w:divBdr>
        <w:top w:val="none" w:sz="0" w:space="0" w:color="auto"/>
        <w:left w:val="none" w:sz="0" w:space="0" w:color="auto"/>
        <w:bottom w:val="none" w:sz="0" w:space="0" w:color="auto"/>
        <w:right w:val="none" w:sz="0" w:space="0" w:color="auto"/>
      </w:divBdr>
      <w:divsChild>
        <w:div w:id="889222698">
          <w:marLeft w:val="0"/>
          <w:marRight w:val="0"/>
          <w:marTop w:val="0"/>
          <w:marBottom w:val="0"/>
          <w:divBdr>
            <w:top w:val="none" w:sz="0" w:space="0" w:color="auto"/>
            <w:left w:val="none" w:sz="0" w:space="0" w:color="auto"/>
            <w:bottom w:val="none" w:sz="0" w:space="0" w:color="auto"/>
            <w:right w:val="none" w:sz="0" w:space="0" w:color="auto"/>
          </w:divBdr>
          <w:divsChild>
            <w:div w:id="1919244179">
              <w:marLeft w:val="0"/>
              <w:marRight w:val="0"/>
              <w:marTop w:val="0"/>
              <w:marBottom w:val="0"/>
              <w:divBdr>
                <w:top w:val="none" w:sz="0" w:space="0" w:color="auto"/>
                <w:left w:val="none" w:sz="0" w:space="0" w:color="auto"/>
                <w:bottom w:val="none" w:sz="0" w:space="0" w:color="auto"/>
                <w:right w:val="none" w:sz="0" w:space="0" w:color="auto"/>
              </w:divBdr>
              <w:divsChild>
                <w:div w:id="9560585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0414676">
      <w:bodyDiv w:val="1"/>
      <w:marLeft w:val="0"/>
      <w:marRight w:val="0"/>
      <w:marTop w:val="0"/>
      <w:marBottom w:val="0"/>
      <w:divBdr>
        <w:top w:val="none" w:sz="0" w:space="0" w:color="auto"/>
        <w:left w:val="none" w:sz="0" w:space="0" w:color="auto"/>
        <w:bottom w:val="none" w:sz="0" w:space="0" w:color="auto"/>
        <w:right w:val="none" w:sz="0" w:space="0" w:color="auto"/>
      </w:divBdr>
      <w:divsChild>
        <w:div w:id="1143035405">
          <w:marLeft w:val="0"/>
          <w:marRight w:val="0"/>
          <w:marTop w:val="0"/>
          <w:marBottom w:val="0"/>
          <w:divBdr>
            <w:top w:val="none" w:sz="0" w:space="0" w:color="auto"/>
            <w:left w:val="none" w:sz="0" w:space="0" w:color="auto"/>
            <w:bottom w:val="none" w:sz="0" w:space="0" w:color="auto"/>
            <w:right w:val="none" w:sz="0" w:space="0" w:color="auto"/>
          </w:divBdr>
          <w:divsChild>
            <w:div w:id="955214230">
              <w:marLeft w:val="0"/>
              <w:marRight w:val="0"/>
              <w:marTop w:val="0"/>
              <w:marBottom w:val="0"/>
              <w:divBdr>
                <w:top w:val="none" w:sz="0" w:space="0" w:color="auto"/>
                <w:left w:val="none" w:sz="0" w:space="0" w:color="auto"/>
                <w:bottom w:val="none" w:sz="0" w:space="0" w:color="auto"/>
                <w:right w:val="none" w:sz="0" w:space="0" w:color="auto"/>
              </w:divBdr>
              <w:divsChild>
                <w:div w:id="2066558524">
                  <w:marLeft w:val="0"/>
                  <w:marRight w:val="0"/>
                  <w:marTop w:val="0"/>
                  <w:marBottom w:val="0"/>
                  <w:divBdr>
                    <w:top w:val="none" w:sz="0" w:space="0" w:color="auto"/>
                    <w:left w:val="none" w:sz="0" w:space="0" w:color="auto"/>
                    <w:bottom w:val="none" w:sz="0" w:space="0" w:color="auto"/>
                    <w:right w:val="none" w:sz="0" w:space="0" w:color="auto"/>
                  </w:divBdr>
                  <w:divsChild>
                    <w:div w:id="88708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14804597">
      <w:bodyDiv w:val="1"/>
      <w:marLeft w:val="0"/>
      <w:marRight w:val="0"/>
      <w:marTop w:val="0"/>
      <w:marBottom w:val="0"/>
      <w:divBdr>
        <w:top w:val="none" w:sz="0" w:space="0" w:color="auto"/>
        <w:left w:val="none" w:sz="0" w:space="0" w:color="auto"/>
        <w:bottom w:val="none" w:sz="0" w:space="0" w:color="auto"/>
        <w:right w:val="none" w:sz="0" w:space="0" w:color="auto"/>
      </w:divBdr>
    </w:div>
    <w:div w:id="1692879139">
      <w:bodyDiv w:val="1"/>
      <w:marLeft w:val="0"/>
      <w:marRight w:val="0"/>
      <w:marTop w:val="0"/>
      <w:marBottom w:val="0"/>
      <w:divBdr>
        <w:top w:val="none" w:sz="0" w:space="0" w:color="auto"/>
        <w:left w:val="none" w:sz="0" w:space="0" w:color="auto"/>
        <w:bottom w:val="none" w:sz="0" w:space="0" w:color="auto"/>
        <w:right w:val="none" w:sz="0" w:space="0" w:color="auto"/>
      </w:divBdr>
    </w:div>
    <w:div w:id="1703163744">
      <w:bodyDiv w:val="1"/>
      <w:marLeft w:val="0"/>
      <w:marRight w:val="0"/>
      <w:marTop w:val="0"/>
      <w:marBottom w:val="0"/>
      <w:divBdr>
        <w:top w:val="none" w:sz="0" w:space="0" w:color="auto"/>
        <w:left w:val="none" w:sz="0" w:space="0" w:color="auto"/>
        <w:bottom w:val="none" w:sz="0" w:space="0" w:color="auto"/>
        <w:right w:val="none" w:sz="0" w:space="0" w:color="auto"/>
      </w:divBdr>
    </w:div>
    <w:div w:id="1763645527">
      <w:bodyDiv w:val="1"/>
      <w:marLeft w:val="0"/>
      <w:marRight w:val="0"/>
      <w:marTop w:val="0"/>
      <w:marBottom w:val="0"/>
      <w:divBdr>
        <w:top w:val="none" w:sz="0" w:space="0" w:color="auto"/>
        <w:left w:val="none" w:sz="0" w:space="0" w:color="auto"/>
        <w:bottom w:val="none" w:sz="0" w:space="0" w:color="auto"/>
        <w:right w:val="none" w:sz="0" w:space="0" w:color="auto"/>
      </w:divBdr>
    </w:div>
    <w:div w:id="1815220068">
      <w:bodyDiv w:val="1"/>
      <w:marLeft w:val="0"/>
      <w:marRight w:val="0"/>
      <w:marTop w:val="0"/>
      <w:marBottom w:val="0"/>
      <w:divBdr>
        <w:top w:val="none" w:sz="0" w:space="0" w:color="auto"/>
        <w:left w:val="none" w:sz="0" w:space="0" w:color="auto"/>
        <w:bottom w:val="none" w:sz="0" w:space="0" w:color="auto"/>
        <w:right w:val="none" w:sz="0" w:space="0" w:color="auto"/>
      </w:divBdr>
      <w:divsChild>
        <w:div w:id="179781122">
          <w:marLeft w:val="0"/>
          <w:marRight w:val="0"/>
          <w:marTop w:val="0"/>
          <w:marBottom w:val="0"/>
          <w:divBdr>
            <w:top w:val="none" w:sz="0" w:space="0" w:color="auto"/>
            <w:left w:val="none" w:sz="0" w:space="0" w:color="auto"/>
            <w:bottom w:val="none" w:sz="0" w:space="0" w:color="auto"/>
            <w:right w:val="none" w:sz="0" w:space="0" w:color="auto"/>
          </w:divBdr>
          <w:divsChild>
            <w:div w:id="939529064">
              <w:marLeft w:val="0"/>
              <w:marRight w:val="0"/>
              <w:marTop w:val="0"/>
              <w:marBottom w:val="0"/>
              <w:divBdr>
                <w:top w:val="none" w:sz="0" w:space="0" w:color="auto"/>
                <w:left w:val="none" w:sz="0" w:space="0" w:color="auto"/>
                <w:bottom w:val="none" w:sz="0" w:space="0" w:color="auto"/>
                <w:right w:val="none" w:sz="0" w:space="0" w:color="auto"/>
              </w:divBdr>
              <w:divsChild>
                <w:div w:id="1968078618">
                  <w:marLeft w:val="0"/>
                  <w:marRight w:val="0"/>
                  <w:marTop w:val="0"/>
                  <w:marBottom w:val="0"/>
                  <w:divBdr>
                    <w:top w:val="none" w:sz="0" w:space="0" w:color="auto"/>
                    <w:left w:val="none" w:sz="0" w:space="0" w:color="auto"/>
                    <w:bottom w:val="none" w:sz="0" w:space="0" w:color="auto"/>
                    <w:right w:val="none" w:sz="0" w:space="0" w:color="auto"/>
                  </w:divBdr>
                  <w:divsChild>
                    <w:div w:id="14604211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6509514">
      <w:bodyDiv w:val="1"/>
      <w:marLeft w:val="0"/>
      <w:marRight w:val="0"/>
      <w:marTop w:val="0"/>
      <w:marBottom w:val="0"/>
      <w:divBdr>
        <w:top w:val="none" w:sz="0" w:space="0" w:color="auto"/>
        <w:left w:val="none" w:sz="0" w:space="0" w:color="auto"/>
        <w:bottom w:val="none" w:sz="0" w:space="0" w:color="auto"/>
        <w:right w:val="none" w:sz="0" w:space="0" w:color="auto"/>
      </w:divBdr>
    </w:div>
    <w:div w:id="1847985124">
      <w:bodyDiv w:val="1"/>
      <w:marLeft w:val="0"/>
      <w:marRight w:val="0"/>
      <w:marTop w:val="0"/>
      <w:marBottom w:val="0"/>
      <w:divBdr>
        <w:top w:val="none" w:sz="0" w:space="0" w:color="auto"/>
        <w:left w:val="none" w:sz="0" w:space="0" w:color="auto"/>
        <w:bottom w:val="none" w:sz="0" w:space="0" w:color="auto"/>
        <w:right w:val="none" w:sz="0" w:space="0" w:color="auto"/>
      </w:divBdr>
      <w:divsChild>
        <w:div w:id="28459049">
          <w:blockQuote w:val="1"/>
          <w:marLeft w:val="0"/>
          <w:marRight w:val="0"/>
          <w:marTop w:val="240"/>
          <w:marBottom w:val="240"/>
          <w:divBdr>
            <w:top w:val="none" w:sz="0" w:space="0" w:color="auto"/>
            <w:left w:val="none" w:sz="0" w:space="0" w:color="auto"/>
            <w:bottom w:val="none" w:sz="0" w:space="0" w:color="auto"/>
            <w:right w:val="none" w:sz="0" w:space="0" w:color="auto"/>
          </w:divBdr>
        </w:div>
      </w:divsChild>
    </w:div>
    <w:div w:id="1868564941">
      <w:bodyDiv w:val="1"/>
      <w:marLeft w:val="0"/>
      <w:marRight w:val="0"/>
      <w:marTop w:val="0"/>
      <w:marBottom w:val="0"/>
      <w:divBdr>
        <w:top w:val="none" w:sz="0" w:space="0" w:color="auto"/>
        <w:left w:val="none" w:sz="0" w:space="0" w:color="auto"/>
        <w:bottom w:val="none" w:sz="0" w:space="0" w:color="auto"/>
        <w:right w:val="none" w:sz="0" w:space="0" w:color="auto"/>
      </w:divBdr>
    </w:div>
    <w:div w:id="1889564540">
      <w:bodyDiv w:val="1"/>
      <w:marLeft w:val="0"/>
      <w:marRight w:val="0"/>
      <w:marTop w:val="0"/>
      <w:marBottom w:val="0"/>
      <w:divBdr>
        <w:top w:val="none" w:sz="0" w:space="0" w:color="auto"/>
        <w:left w:val="none" w:sz="0" w:space="0" w:color="auto"/>
        <w:bottom w:val="none" w:sz="0" w:space="0" w:color="auto"/>
        <w:right w:val="none" w:sz="0" w:space="0" w:color="auto"/>
      </w:divBdr>
      <w:divsChild>
        <w:div w:id="445123477">
          <w:marLeft w:val="0"/>
          <w:marRight w:val="0"/>
          <w:marTop w:val="0"/>
          <w:marBottom w:val="0"/>
          <w:divBdr>
            <w:top w:val="none" w:sz="0" w:space="0" w:color="auto"/>
            <w:left w:val="none" w:sz="0" w:space="0" w:color="auto"/>
            <w:bottom w:val="none" w:sz="0" w:space="0" w:color="auto"/>
            <w:right w:val="none" w:sz="0" w:space="0" w:color="auto"/>
          </w:divBdr>
          <w:divsChild>
            <w:div w:id="75980996">
              <w:marLeft w:val="0"/>
              <w:marRight w:val="0"/>
              <w:marTop w:val="0"/>
              <w:marBottom w:val="0"/>
              <w:divBdr>
                <w:top w:val="none" w:sz="0" w:space="0" w:color="auto"/>
                <w:left w:val="none" w:sz="0" w:space="0" w:color="auto"/>
                <w:bottom w:val="none" w:sz="0" w:space="0" w:color="auto"/>
                <w:right w:val="none" w:sz="0" w:space="0" w:color="auto"/>
              </w:divBdr>
              <w:divsChild>
                <w:div w:id="1711953426">
                  <w:marLeft w:val="0"/>
                  <w:marRight w:val="0"/>
                  <w:marTop w:val="0"/>
                  <w:marBottom w:val="0"/>
                  <w:divBdr>
                    <w:top w:val="none" w:sz="0" w:space="0" w:color="auto"/>
                    <w:left w:val="none" w:sz="0" w:space="0" w:color="auto"/>
                    <w:bottom w:val="none" w:sz="0" w:space="0" w:color="auto"/>
                    <w:right w:val="none" w:sz="0" w:space="0" w:color="auto"/>
                  </w:divBdr>
                </w:div>
              </w:divsChild>
            </w:div>
            <w:div w:id="984776003">
              <w:marLeft w:val="0"/>
              <w:marRight w:val="0"/>
              <w:marTop w:val="0"/>
              <w:marBottom w:val="0"/>
              <w:divBdr>
                <w:top w:val="none" w:sz="0" w:space="0" w:color="auto"/>
                <w:left w:val="none" w:sz="0" w:space="0" w:color="auto"/>
                <w:bottom w:val="none" w:sz="0" w:space="0" w:color="auto"/>
                <w:right w:val="none" w:sz="0" w:space="0" w:color="auto"/>
              </w:divBdr>
              <w:divsChild>
                <w:div w:id="13966605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7702538">
          <w:marLeft w:val="0"/>
          <w:marRight w:val="0"/>
          <w:marTop w:val="0"/>
          <w:marBottom w:val="0"/>
          <w:divBdr>
            <w:top w:val="none" w:sz="0" w:space="0" w:color="auto"/>
            <w:left w:val="none" w:sz="0" w:space="0" w:color="auto"/>
            <w:bottom w:val="none" w:sz="0" w:space="0" w:color="auto"/>
            <w:right w:val="none" w:sz="0" w:space="0" w:color="auto"/>
          </w:divBdr>
          <w:divsChild>
            <w:div w:id="1223323906">
              <w:marLeft w:val="0"/>
              <w:marRight w:val="0"/>
              <w:marTop w:val="0"/>
              <w:marBottom w:val="0"/>
              <w:divBdr>
                <w:top w:val="none" w:sz="0" w:space="0" w:color="auto"/>
                <w:left w:val="none" w:sz="0" w:space="0" w:color="auto"/>
                <w:bottom w:val="none" w:sz="0" w:space="0" w:color="auto"/>
                <w:right w:val="none" w:sz="0" w:space="0" w:color="auto"/>
              </w:divBdr>
              <w:divsChild>
                <w:div w:id="17095235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3287038">
      <w:bodyDiv w:val="1"/>
      <w:marLeft w:val="0"/>
      <w:marRight w:val="0"/>
      <w:marTop w:val="0"/>
      <w:marBottom w:val="0"/>
      <w:divBdr>
        <w:top w:val="none" w:sz="0" w:space="0" w:color="auto"/>
        <w:left w:val="none" w:sz="0" w:space="0" w:color="auto"/>
        <w:bottom w:val="none" w:sz="0" w:space="0" w:color="auto"/>
        <w:right w:val="none" w:sz="0" w:space="0" w:color="auto"/>
      </w:divBdr>
    </w:div>
    <w:div w:id="1994140650">
      <w:bodyDiv w:val="1"/>
      <w:marLeft w:val="0"/>
      <w:marRight w:val="0"/>
      <w:marTop w:val="0"/>
      <w:marBottom w:val="0"/>
      <w:divBdr>
        <w:top w:val="none" w:sz="0" w:space="0" w:color="auto"/>
        <w:left w:val="none" w:sz="0" w:space="0" w:color="auto"/>
        <w:bottom w:val="none" w:sz="0" w:space="0" w:color="auto"/>
        <w:right w:val="none" w:sz="0" w:space="0" w:color="auto"/>
      </w:divBdr>
      <w:divsChild>
        <w:div w:id="2052654108">
          <w:marLeft w:val="0"/>
          <w:marRight w:val="0"/>
          <w:marTop w:val="0"/>
          <w:marBottom w:val="0"/>
          <w:divBdr>
            <w:top w:val="none" w:sz="0" w:space="0" w:color="auto"/>
            <w:left w:val="none" w:sz="0" w:space="0" w:color="auto"/>
            <w:bottom w:val="none" w:sz="0" w:space="0" w:color="auto"/>
            <w:right w:val="none" w:sz="0" w:space="0" w:color="auto"/>
          </w:divBdr>
        </w:div>
        <w:div w:id="1074355727">
          <w:marLeft w:val="0"/>
          <w:marRight w:val="0"/>
          <w:marTop w:val="0"/>
          <w:marBottom w:val="0"/>
          <w:divBdr>
            <w:top w:val="none" w:sz="0" w:space="0" w:color="auto"/>
            <w:left w:val="none" w:sz="0" w:space="0" w:color="auto"/>
            <w:bottom w:val="none" w:sz="0" w:space="0" w:color="auto"/>
            <w:right w:val="none" w:sz="0" w:space="0" w:color="auto"/>
          </w:divBdr>
          <w:divsChild>
            <w:div w:id="1521970032">
              <w:marLeft w:val="0"/>
              <w:marRight w:val="165"/>
              <w:marTop w:val="150"/>
              <w:marBottom w:val="0"/>
              <w:divBdr>
                <w:top w:val="none" w:sz="0" w:space="0" w:color="auto"/>
                <w:left w:val="none" w:sz="0" w:space="0" w:color="auto"/>
                <w:bottom w:val="none" w:sz="0" w:space="0" w:color="auto"/>
                <w:right w:val="none" w:sz="0" w:space="0" w:color="auto"/>
              </w:divBdr>
              <w:divsChild>
                <w:div w:id="1910112388">
                  <w:marLeft w:val="0"/>
                  <w:marRight w:val="0"/>
                  <w:marTop w:val="0"/>
                  <w:marBottom w:val="0"/>
                  <w:divBdr>
                    <w:top w:val="none" w:sz="0" w:space="0" w:color="auto"/>
                    <w:left w:val="none" w:sz="0" w:space="0" w:color="auto"/>
                    <w:bottom w:val="none" w:sz="0" w:space="0" w:color="auto"/>
                    <w:right w:val="none" w:sz="0" w:space="0" w:color="auto"/>
                  </w:divBdr>
                  <w:divsChild>
                    <w:div w:id="777526437">
                      <w:marLeft w:val="-165"/>
                      <w:marRight w:val="-16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51222438">
      <w:bodyDiv w:val="1"/>
      <w:marLeft w:val="0"/>
      <w:marRight w:val="0"/>
      <w:marTop w:val="0"/>
      <w:marBottom w:val="0"/>
      <w:divBdr>
        <w:top w:val="none" w:sz="0" w:space="0" w:color="auto"/>
        <w:left w:val="none" w:sz="0" w:space="0" w:color="auto"/>
        <w:bottom w:val="none" w:sz="0" w:space="0" w:color="auto"/>
        <w:right w:val="none" w:sz="0" w:space="0" w:color="auto"/>
      </w:divBdr>
    </w:div>
    <w:div w:id="2063819942">
      <w:bodyDiv w:val="1"/>
      <w:marLeft w:val="0"/>
      <w:marRight w:val="0"/>
      <w:marTop w:val="0"/>
      <w:marBottom w:val="0"/>
      <w:divBdr>
        <w:top w:val="none" w:sz="0" w:space="0" w:color="auto"/>
        <w:left w:val="none" w:sz="0" w:space="0" w:color="auto"/>
        <w:bottom w:val="none" w:sz="0" w:space="0" w:color="auto"/>
        <w:right w:val="none" w:sz="0" w:space="0" w:color="auto"/>
      </w:divBdr>
    </w:div>
    <w:div w:id="2068870602">
      <w:bodyDiv w:val="1"/>
      <w:marLeft w:val="0"/>
      <w:marRight w:val="0"/>
      <w:marTop w:val="0"/>
      <w:marBottom w:val="0"/>
      <w:divBdr>
        <w:top w:val="none" w:sz="0" w:space="0" w:color="auto"/>
        <w:left w:val="none" w:sz="0" w:space="0" w:color="auto"/>
        <w:bottom w:val="none" w:sz="0" w:space="0" w:color="auto"/>
        <w:right w:val="none" w:sz="0" w:space="0" w:color="auto"/>
      </w:divBdr>
    </w:div>
    <w:div w:id="2069839159">
      <w:bodyDiv w:val="1"/>
      <w:marLeft w:val="0"/>
      <w:marRight w:val="0"/>
      <w:marTop w:val="0"/>
      <w:marBottom w:val="0"/>
      <w:divBdr>
        <w:top w:val="none" w:sz="0" w:space="0" w:color="auto"/>
        <w:left w:val="none" w:sz="0" w:space="0" w:color="auto"/>
        <w:bottom w:val="none" w:sz="0" w:space="0" w:color="auto"/>
        <w:right w:val="none" w:sz="0" w:space="0" w:color="auto"/>
      </w:divBdr>
    </w:div>
    <w:div w:id="2075080854">
      <w:bodyDiv w:val="1"/>
      <w:marLeft w:val="0"/>
      <w:marRight w:val="0"/>
      <w:marTop w:val="0"/>
      <w:marBottom w:val="0"/>
      <w:divBdr>
        <w:top w:val="none" w:sz="0" w:space="0" w:color="auto"/>
        <w:left w:val="none" w:sz="0" w:space="0" w:color="auto"/>
        <w:bottom w:val="none" w:sz="0" w:space="0" w:color="auto"/>
        <w:right w:val="none" w:sz="0" w:space="0" w:color="auto"/>
      </w:divBdr>
      <w:divsChild>
        <w:div w:id="539977225">
          <w:marLeft w:val="0"/>
          <w:marRight w:val="0"/>
          <w:marTop w:val="0"/>
          <w:marBottom w:val="0"/>
          <w:divBdr>
            <w:top w:val="none" w:sz="0" w:space="0" w:color="auto"/>
            <w:left w:val="none" w:sz="0" w:space="0" w:color="auto"/>
            <w:bottom w:val="none" w:sz="0" w:space="0" w:color="auto"/>
            <w:right w:val="none" w:sz="0" w:space="0" w:color="auto"/>
          </w:divBdr>
          <w:divsChild>
            <w:div w:id="1820920907">
              <w:marLeft w:val="0"/>
              <w:marRight w:val="0"/>
              <w:marTop w:val="0"/>
              <w:marBottom w:val="0"/>
              <w:divBdr>
                <w:top w:val="none" w:sz="0" w:space="0" w:color="auto"/>
                <w:left w:val="none" w:sz="0" w:space="0" w:color="auto"/>
                <w:bottom w:val="none" w:sz="0" w:space="0" w:color="auto"/>
                <w:right w:val="none" w:sz="0" w:space="0" w:color="auto"/>
              </w:divBdr>
              <w:divsChild>
                <w:div w:id="1990985114">
                  <w:marLeft w:val="0"/>
                  <w:marRight w:val="0"/>
                  <w:marTop w:val="0"/>
                  <w:marBottom w:val="0"/>
                  <w:divBdr>
                    <w:top w:val="none" w:sz="0" w:space="0" w:color="auto"/>
                    <w:left w:val="none" w:sz="0" w:space="0" w:color="auto"/>
                    <w:bottom w:val="none" w:sz="0" w:space="0" w:color="auto"/>
                    <w:right w:val="none" w:sz="0" w:space="0" w:color="auto"/>
                  </w:divBdr>
                  <w:divsChild>
                    <w:div w:id="20678781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012954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eur-lex.europa.eu/legal-content/EN/TXT/?uri=celex%3A61970CJ0011" TargetMode="External"/><Relationship Id="rId18" Type="http://schemas.openxmlformats.org/officeDocument/2006/relationships/hyperlink" Target="https://eur-lex.europa.eu/legal-content/CS/TXT/HTML/?uri=CELEX:62016CJ0414" TargetMode="External"/><Relationship Id="rId26" Type="http://schemas.openxmlformats.org/officeDocument/2006/relationships/hyperlink" Target="https://eur-lex.europa.eu/legal-content/CS/TXT/HTML/?uri=CELEX:62011CJ0399" TargetMode="External"/><Relationship Id="rId39" Type="http://schemas.openxmlformats.org/officeDocument/2006/relationships/fontTable" Target="fontTable.xml"/><Relationship Id="rId21" Type="http://schemas.openxmlformats.org/officeDocument/2006/relationships/diagramLayout" Target="diagrams/layout1.xml"/><Relationship Id="rId34" Type="http://schemas.microsoft.com/office/2007/relationships/diagramDrawing" Target="diagrams/drawing2.xml"/><Relationship Id="rId7" Type="http://schemas.openxmlformats.org/officeDocument/2006/relationships/settings" Target="settings.xml"/><Relationship Id="rId12" Type="http://schemas.openxmlformats.org/officeDocument/2006/relationships/hyperlink" Target="https://eur-lex.europa.eu/legal-content/EN/TXT/?uri=CELEX%3A61969CJ0029" TargetMode="External"/><Relationship Id="rId17" Type="http://schemas.openxmlformats.org/officeDocument/2006/relationships/hyperlink" Target="https://eur-lex.europa.eu/legal-content/CS/TXT/HTML/?uri=CELEX:62012CJ0176" TargetMode="External"/><Relationship Id="rId25" Type="http://schemas.openxmlformats.org/officeDocument/2006/relationships/hyperlink" Target="https://eur-lex.europa.eu/legal-content/CS/TXT/HTML/?uri=CELEX:62007CJ0555" TargetMode="External"/><Relationship Id="rId33" Type="http://schemas.openxmlformats.org/officeDocument/2006/relationships/diagramColors" Target="diagrams/colors2.xml"/><Relationship Id="rId38"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hyperlink" Target="https://eur-lex.europa.eu/legal-content/CS/TXT/HTML/?uri=CELEX:62014CJ0117" TargetMode="External"/><Relationship Id="rId20" Type="http://schemas.openxmlformats.org/officeDocument/2006/relationships/diagramData" Target="diagrams/data1.xml"/><Relationship Id="rId29" Type="http://schemas.openxmlformats.org/officeDocument/2006/relationships/hyperlink" Target="https://eur-lex.europa.eu/legal-content/CS/TXT/HTML/?uri=CELEX:62019CJ0793"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microsoft.com/office/2007/relationships/diagramDrawing" Target="diagrams/drawing1.xml"/><Relationship Id="rId32" Type="http://schemas.openxmlformats.org/officeDocument/2006/relationships/diagramQuickStyle" Target="diagrams/quickStyle2.xml"/><Relationship Id="rId37" Type="http://schemas.openxmlformats.org/officeDocument/2006/relationships/footer" Target="footer1.xml"/><Relationship Id="rId40"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yperlink" Target="https://eur-lex.europa.eu/legal-content/EN/TXT/?uri=CELEX:62010CO0617" TargetMode="External"/><Relationship Id="rId23" Type="http://schemas.openxmlformats.org/officeDocument/2006/relationships/diagramColors" Target="diagrams/colors1.xml"/><Relationship Id="rId28" Type="http://schemas.openxmlformats.org/officeDocument/2006/relationships/hyperlink" Target="https://eur-lex.europa.eu/legal-content/CS/TXT/HTML/?uri=CELEX:62009CJ0092" TargetMode="External"/><Relationship Id="rId36" Type="http://schemas.openxmlformats.org/officeDocument/2006/relationships/hyperlink" Target="https://www.conseil-constitutionnel.fr/decision/2013/2013314pqpc.htm" TargetMode="External"/><Relationship Id="rId10" Type="http://schemas.openxmlformats.org/officeDocument/2006/relationships/endnotes" Target="endnotes.xml"/><Relationship Id="rId19" Type="http://schemas.openxmlformats.org/officeDocument/2006/relationships/hyperlink" Target="https://eur-lex.europa.eu/legal-content/CS/TXT/HTML/?uri=CELEX:62016CJ0684" TargetMode="External"/><Relationship Id="rId31" Type="http://schemas.openxmlformats.org/officeDocument/2006/relationships/diagramLayout" Target="diagrams/layout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eur-lex.europa.eu/legal-content/CS/TXT/HTML/?uri=CELEX:62016CJ0403" TargetMode="External"/><Relationship Id="rId22" Type="http://schemas.openxmlformats.org/officeDocument/2006/relationships/diagramQuickStyle" Target="diagrams/quickStyle1.xml"/><Relationship Id="rId27" Type="http://schemas.openxmlformats.org/officeDocument/2006/relationships/hyperlink" Target="https://eur-lex.europa.eu/legal-content/CS/TXT/HTML/?uri=CELEX:62019CJ0793" TargetMode="External"/><Relationship Id="rId30" Type="http://schemas.openxmlformats.org/officeDocument/2006/relationships/diagramData" Target="diagrams/data2.xml"/><Relationship Id="rId35" Type="http://schemas.openxmlformats.org/officeDocument/2006/relationships/hyperlink" Target="https://eur-lex.europa.eu/legal-content/CS/TXT/HTML/?uri=CELEX:62014CJ0203" TargetMode="External"/><Relationship Id="rId8" Type="http://schemas.openxmlformats.org/officeDocument/2006/relationships/webSettings" Target="webSettings.xml"/><Relationship Id="rId3" Type="http://schemas.openxmlformats.org/officeDocument/2006/relationships/customXml" Target="../customXml/item3.xml"/></Relationships>
</file>

<file path=word/_rels/footnotes.xml.rels><?xml version="1.0" encoding="UTF-8" standalone="yes"?>
<Relationships xmlns="http://schemas.openxmlformats.org/package/2006/relationships"><Relationship Id="rId8" Type="http://schemas.openxmlformats.org/officeDocument/2006/relationships/hyperlink" Target="https://curia.europa.eu/juris/showPdf.jsf?text=&amp;docid=226341&amp;pageIndex=0&amp;doclang=en&amp;mode=req&amp;dir=&amp;occ=first&amp;part=1&amp;cid=1931729" TargetMode="External"/><Relationship Id="rId3" Type="http://schemas.openxmlformats.org/officeDocument/2006/relationships/hyperlink" Target="https://www.courts.ie/acc/alfresco/bf3ea1b6-e98f-447c-a9c1-4eecdc63deea/2012_IEHC_8_1.pdf/pdf" TargetMode="External"/><Relationship Id="rId7" Type="http://schemas.openxmlformats.org/officeDocument/2006/relationships/hyperlink" Target="https://ie.vlex.com/vid/dwyer-v-commissioner-of-793471601" TargetMode="External"/><Relationship Id="rId2" Type="http://schemas.openxmlformats.org/officeDocument/2006/relationships/hyperlink" Target="https://ie.vlex.com/vid/s-minor-suing-by-942637519" TargetMode="External"/><Relationship Id="rId1" Type="http://schemas.openxmlformats.org/officeDocument/2006/relationships/hyperlink" Target="https://ie.vlex.com/vid/s-minor-suing-by-942637519" TargetMode="External"/><Relationship Id="rId6" Type="http://schemas.openxmlformats.org/officeDocument/2006/relationships/hyperlink" Target="https://blogs.kcl.ac.uk/kslr/2012/01/04/the-zambrano-case/" TargetMode="External"/><Relationship Id="rId5" Type="http://schemas.openxmlformats.org/officeDocument/2006/relationships/hyperlink" Target="https://blogs.kcl.ac.uk/kslr/2012/01/04/the-zambrano-case/" TargetMode="External"/><Relationship Id="rId4" Type="http://schemas.openxmlformats.org/officeDocument/2006/relationships/hyperlink" Target="https://ie.vlex.com/vid/k-i-and-others-793545093" TargetMode="External"/><Relationship Id="rId9" Type="http://schemas.openxmlformats.org/officeDocument/2006/relationships/hyperlink" Target="https://curia.europa.eu/juris/documents.jsf?num=C-140/20" TargetMode="External"/></Relationships>
</file>

<file path=word/diagrams/colors1.xml><?xml version="1.0" encoding="utf-8"?>
<dgm:colorsDef xmlns:dgm="http://schemas.openxmlformats.org/drawingml/2006/diagram" xmlns:a="http://schemas.openxmlformats.org/drawingml/2006/main" uniqueId="urn:microsoft.com/office/officeart/2005/8/colors/accent5_2">
  <dgm:title val=""/>
  <dgm:desc val=""/>
  <dgm:catLst>
    <dgm:cat type="accent5" pri="11200"/>
  </dgm:catLst>
  <dgm:styleLbl name="node0">
    <dgm:fillClrLst meth="repeat">
      <a:schemeClr val="accent5"/>
    </dgm:fillClrLst>
    <dgm:linClrLst meth="repeat">
      <a:schemeClr val="lt1"/>
    </dgm:linClrLst>
    <dgm:effectClrLst/>
    <dgm:txLinClrLst/>
    <dgm:txFillClrLst/>
    <dgm:txEffectClrLst/>
  </dgm:styleLbl>
  <dgm:styleLbl name="node1">
    <dgm:fillClrLst meth="repeat">
      <a:schemeClr val="accent5"/>
    </dgm:fillClrLst>
    <dgm:linClrLst meth="repeat">
      <a:schemeClr val="lt1"/>
    </dgm:linClrLst>
    <dgm:effectClrLst/>
    <dgm:txLinClrLst/>
    <dgm:txFillClrLst/>
    <dgm:txEffectClrLst/>
  </dgm:styleLbl>
  <dgm:styleLbl name="alignNode1">
    <dgm:fillClrLst meth="repeat">
      <a:schemeClr val="accent5"/>
    </dgm:fillClrLst>
    <dgm:linClrLst meth="repeat">
      <a:schemeClr val="accent5"/>
    </dgm:linClrLst>
    <dgm:effectClrLst/>
    <dgm:txLinClrLst/>
    <dgm:txFillClrLst/>
    <dgm:txEffectClrLst/>
  </dgm:styleLbl>
  <dgm:styleLbl name="lnNode1">
    <dgm:fillClrLst meth="repeat">
      <a:schemeClr val="accent5"/>
    </dgm:fillClrLst>
    <dgm:linClrLst meth="repeat">
      <a:schemeClr val="lt1"/>
    </dgm:linClrLst>
    <dgm:effectClrLst/>
    <dgm:txLinClrLst/>
    <dgm:txFillClrLst/>
    <dgm:txEffectClrLst/>
  </dgm:styleLbl>
  <dgm:styleLbl name="vennNode1">
    <dgm:fillClrLst meth="repeat">
      <a:schemeClr val="accent5">
        <a:alpha val="50000"/>
      </a:schemeClr>
    </dgm:fillClrLst>
    <dgm:linClrLst meth="repeat">
      <a:schemeClr val="lt1"/>
    </dgm:linClrLst>
    <dgm:effectClrLst/>
    <dgm:txLinClrLst/>
    <dgm:txFillClrLst/>
    <dgm:txEffectClrLst/>
  </dgm:styleLbl>
  <dgm:styleLbl name="node2">
    <dgm:fillClrLst meth="repeat">
      <a:schemeClr val="accent5"/>
    </dgm:fillClrLst>
    <dgm:linClrLst meth="repeat">
      <a:schemeClr val="lt1"/>
    </dgm:linClrLst>
    <dgm:effectClrLst/>
    <dgm:txLinClrLst/>
    <dgm:txFillClrLst/>
    <dgm:txEffectClrLst/>
  </dgm:styleLbl>
  <dgm:styleLbl name="node3">
    <dgm:fillClrLst meth="repeat">
      <a:schemeClr val="accent5"/>
    </dgm:fillClrLst>
    <dgm:linClrLst meth="repeat">
      <a:schemeClr val="lt1"/>
    </dgm:linClrLst>
    <dgm:effectClrLst/>
    <dgm:txLinClrLst/>
    <dgm:txFillClrLst/>
    <dgm:txEffectClrLst/>
  </dgm:styleLbl>
  <dgm:styleLbl name="node4">
    <dgm:fillClrLst meth="repeat">
      <a:schemeClr val="accent5"/>
    </dgm:fillClrLst>
    <dgm:linClrLst meth="repeat">
      <a:schemeClr val="lt1"/>
    </dgm:linClrLst>
    <dgm:effectClrLst/>
    <dgm:txLinClrLst/>
    <dgm:txFillClrLst/>
    <dgm:txEffectClrLst/>
  </dgm:styleLbl>
  <dgm:styleLbl name="fgImgPlace1">
    <dgm:fillClrLst meth="repeat">
      <a:schemeClr val="accent5">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5">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5">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5">
        <a:tint val="60000"/>
      </a:schemeClr>
    </dgm:fillClrLst>
    <dgm:linClrLst meth="repeat">
      <a:schemeClr val="accent5">
        <a:tint val="60000"/>
      </a:schemeClr>
    </dgm:linClrLst>
    <dgm:effectClrLst/>
    <dgm:txLinClrLst/>
    <dgm:txFillClrLst/>
    <dgm:txEffectClrLst/>
  </dgm:styleLbl>
  <dgm:styleLbl name="fgSibTrans2D1">
    <dgm:fillClrLst meth="repeat">
      <a:schemeClr val="accent5">
        <a:tint val="60000"/>
      </a:schemeClr>
    </dgm:fillClrLst>
    <dgm:linClrLst meth="repeat">
      <a:schemeClr val="accent5">
        <a:tint val="60000"/>
      </a:schemeClr>
    </dgm:linClrLst>
    <dgm:effectClrLst/>
    <dgm:txLinClrLst/>
    <dgm:txFillClrLst/>
    <dgm:txEffectClrLst/>
  </dgm:styleLbl>
  <dgm:styleLbl name="bgSibTrans2D1">
    <dgm:fillClrLst meth="repeat">
      <a:schemeClr val="accent5">
        <a:tint val="60000"/>
      </a:schemeClr>
    </dgm:fillClrLst>
    <dgm:linClrLst meth="repeat">
      <a:schemeClr val="accent5">
        <a:tint val="60000"/>
      </a:schemeClr>
    </dgm:linClrLst>
    <dgm:effectClrLst/>
    <dgm:txLinClrLst/>
    <dgm:txFillClrLst/>
    <dgm:txEffectClrLst/>
  </dgm:styleLbl>
  <dgm:styleLbl name="sibTrans1D1">
    <dgm:fillClrLst meth="repeat">
      <a:schemeClr val="accent5"/>
    </dgm:fillClrLst>
    <dgm:linClrLst meth="repeat">
      <a:schemeClr val="accent5"/>
    </dgm:linClrLst>
    <dgm:effectClrLst/>
    <dgm:txLinClrLst/>
    <dgm:txFillClrLst meth="repeat">
      <a:schemeClr val="tx1"/>
    </dgm:txFillClrLst>
    <dgm:txEffectClrLst/>
  </dgm:styleLbl>
  <dgm:styleLbl name="callout">
    <dgm:fillClrLst meth="repeat">
      <a:schemeClr val="accent5"/>
    </dgm:fillClrLst>
    <dgm:linClrLst meth="repeat">
      <a:schemeClr val="accent5">
        <a:tint val="50000"/>
      </a:schemeClr>
    </dgm:linClrLst>
    <dgm:effectClrLst/>
    <dgm:txLinClrLst/>
    <dgm:txFillClrLst meth="repeat">
      <a:schemeClr val="tx1"/>
    </dgm:txFillClrLst>
    <dgm:txEffectClrLst/>
  </dgm:styleLbl>
  <dgm:styleLbl name="asst0">
    <dgm:fillClrLst meth="repeat">
      <a:schemeClr val="accent5"/>
    </dgm:fillClrLst>
    <dgm:linClrLst meth="repeat">
      <a:schemeClr val="lt1"/>
    </dgm:linClrLst>
    <dgm:effectClrLst/>
    <dgm:txLinClrLst/>
    <dgm:txFillClrLst/>
    <dgm:txEffectClrLst/>
  </dgm:styleLbl>
  <dgm:styleLbl name="asst1">
    <dgm:fillClrLst meth="repeat">
      <a:schemeClr val="accent5"/>
    </dgm:fillClrLst>
    <dgm:linClrLst meth="repeat">
      <a:schemeClr val="lt1"/>
    </dgm:linClrLst>
    <dgm:effectClrLst/>
    <dgm:txLinClrLst/>
    <dgm:txFillClrLst/>
    <dgm:txEffectClrLst/>
  </dgm:styleLbl>
  <dgm:styleLbl name="asst2">
    <dgm:fillClrLst meth="repeat">
      <a:schemeClr val="accent5"/>
    </dgm:fillClrLst>
    <dgm:linClrLst meth="repeat">
      <a:schemeClr val="lt1"/>
    </dgm:linClrLst>
    <dgm:effectClrLst/>
    <dgm:txLinClrLst/>
    <dgm:txFillClrLst/>
    <dgm:txEffectClrLst/>
  </dgm:styleLbl>
  <dgm:styleLbl name="asst3">
    <dgm:fillClrLst meth="repeat">
      <a:schemeClr val="accent5"/>
    </dgm:fillClrLst>
    <dgm:linClrLst meth="repeat">
      <a:schemeClr val="lt1"/>
    </dgm:linClrLst>
    <dgm:effectClrLst/>
    <dgm:txLinClrLst/>
    <dgm:txFillClrLst/>
    <dgm:txEffectClrLst/>
  </dgm:styleLbl>
  <dgm:styleLbl name="asst4">
    <dgm:fillClrLst meth="repeat">
      <a:schemeClr val="accent5"/>
    </dgm:fillClrLst>
    <dgm:linClrLst meth="repeat">
      <a:schemeClr val="lt1"/>
    </dgm:linClrLst>
    <dgm:effectClrLst/>
    <dgm:txLinClrLst/>
    <dgm:txFillClrLst/>
    <dgm:txEffectClrLst/>
  </dgm:styleLbl>
  <dgm:styleLbl name="parChTrans2D1">
    <dgm:fillClrLst meth="repeat">
      <a:schemeClr val="accent5">
        <a:tint val="60000"/>
      </a:schemeClr>
    </dgm:fillClrLst>
    <dgm:linClrLst meth="repeat">
      <a:schemeClr val="accent5">
        <a:tint val="60000"/>
      </a:schemeClr>
    </dgm:linClrLst>
    <dgm:effectClrLst/>
    <dgm:txLinClrLst/>
    <dgm:txFillClrLst meth="repeat">
      <a:schemeClr val="lt1"/>
    </dgm:txFillClrLst>
    <dgm:txEffectClrLst/>
  </dgm:styleLbl>
  <dgm:styleLbl name="parChTrans2D2">
    <dgm:fillClrLst meth="repeat">
      <a:schemeClr val="accent5"/>
    </dgm:fillClrLst>
    <dgm:linClrLst meth="repeat">
      <a:schemeClr val="accent5"/>
    </dgm:linClrLst>
    <dgm:effectClrLst/>
    <dgm:txLinClrLst/>
    <dgm:txFillClrLst meth="repeat">
      <a:schemeClr val="lt1"/>
    </dgm:txFillClrLst>
    <dgm:txEffectClrLst/>
  </dgm:styleLbl>
  <dgm:styleLbl name="parChTrans2D3">
    <dgm:fillClrLst meth="repeat">
      <a:schemeClr val="accent5"/>
    </dgm:fillClrLst>
    <dgm:linClrLst meth="repeat">
      <a:schemeClr val="accent5"/>
    </dgm:linClrLst>
    <dgm:effectClrLst/>
    <dgm:txLinClrLst/>
    <dgm:txFillClrLst meth="repeat">
      <a:schemeClr val="lt1"/>
    </dgm:txFillClrLst>
    <dgm:txEffectClrLst/>
  </dgm:styleLbl>
  <dgm:styleLbl name="parChTrans2D4">
    <dgm:fillClrLst meth="repeat">
      <a:schemeClr val="accent5"/>
    </dgm:fillClrLst>
    <dgm:linClrLst meth="repeat">
      <a:schemeClr val="accent5"/>
    </dgm:linClrLst>
    <dgm:effectClrLst/>
    <dgm:txLinClrLst/>
    <dgm:txFillClrLst meth="repeat">
      <a:schemeClr val="lt1"/>
    </dgm:txFillClrLst>
    <dgm:txEffectClrLst/>
  </dgm:styleLbl>
  <dgm:styleLbl name="parChTrans1D1">
    <dgm:fillClrLst meth="repeat">
      <a:schemeClr val="accent5"/>
    </dgm:fillClrLst>
    <dgm:linClrLst meth="repeat">
      <a:schemeClr val="accent5">
        <a:shade val="60000"/>
      </a:schemeClr>
    </dgm:linClrLst>
    <dgm:effectClrLst/>
    <dgm:txLinClrLst/>
    <dgm:txFillClrLst meth="repeat">
      <a:schemeClr val="tx1"/>
    </dgm:txFillClrLst>
    <dgm:txEffectClrLst/>
  </dgm:styleLbl>
  <dgm:styleLbl name="parChTrans1D2">
    <dgm:fillClrLst meth="repeat">
      <a:schemeClr val="accent5"/>
    </dgm:fillClrLst>
    <dgm:linClrLst meth="repeat">
      <a:schemeClr val="accent5">
        <a:shade val="60000"/>
      </a:schemeClr>
    </dgm:linClrLst>
    <dgm:effectClrLst/>
    <dgm:txLinClrLst/>
    <dgm:txFillClrLst meth="repeat">
      <a:schemeClr val="tx1"/>
    </dgm:txFillClrLst>
    <dgm:txEffectClrLst/>
  </dgm:styleLbl>
  <dgm:styleLbl name="parChTrans1D3">
    <dgm:fillClrLst meth="repeat">
      <a:schemeClr val="accent5"/>
    </dgm:fillClrLst>
    <dgm:linClrLst meth="repeat">
      <a:schemeClr val="accent5">
        <a:shade val="80000"/>
      </a:schemeClr>
    </dgm:linClrLst>
    <dgm:effectClrLst/>
    <dgm:txLinClrLst/>
    <dgm:txFillClrLst meth="repeat">
      <a:schemeClr val="tx1"/>
    </dgm:txFillClrLst>
    <dgm:txEffectClrLst/>
  </dgm:styleLbl>
  <dgm:styleLbl name="parChTrans1D4">
    <dgm:fillClrLst meth="repeat">
      <a:schemeClr val="accent5"/>
    </dgm:fillClrLst>
    <dgm:linClrLst meth="repeat">
      <a:schemeClr val="accent5">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5"/>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5"/>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5"/>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5"/>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5"/>
    </dgm:linClrLst>
    <dgm:effectClrLst/>
    <dgm:txLinClrLst/>
    <dgm:txFillClrLst meth="repeat">
      <a:schemeClr val="dk1"/>
    </dgm:txFillClrLst>
    <dgm:txEffectClrLst/>
  </dgm:styleLbl>
  <dgm:styleLbl name="solidFgAcc1">
    <dgm:fillClrLst meth="repeat">
      <a:schemeClr val="lt1"/>
    </dgm:fillClrLst>
    <dgm:linClrLst meth="repeat">
      <a:schemeClr val="accent5"/>
    </dgm:linClrLst>
    <dgm:effectClrLst/>
    <dgm:txLinClrLst/>
    <dgm:txFillClrLst meth="repeat">
      <a:schemeClr val="dk1"/>
    </dgm:txFillClrLst>
    <dgm:txEffectClrLst/>
  </dgm:styleLbl>
  <dgm:styleLbl name="solidAlignAcc1">
    <dgm:fillClrLst meth="repeat">
      <a:schemeClr val="lt1"/>
    </dgm:fillClrLst>
    <dgm:linClrLst meth="repeat">
      <a:schemeClr val="accent5"/>
    </dgm:linClrLst>
    <dgm:effectClrLst/>
    <dgm:txLinClrLst/>
    <dgm:txFillClrLst meth="repeat">
      <a:schemeClr val="dk1"/>
    </dgm:txFillClrLst>
    <dgm:txEffectClrLst/>
  </dgm:styleLbl>
  <dgm:styleLbl name="solidBgAcc1">
    <dgm:fillClrLst meth="repeat">
      <a:schemeClr val="lt1"/>
    </dgm:fillClrLst>
    <dgm:linClrLst meth="repeat">
      <a:schemeClr val="accent5"/>
    </dgm:linClrLst>
    <dgm:effectClrLst/>
    <dgm:txLinClrLst/>
    <dgm:txFillClrLst meth="repeat">
      <a:schemeClr val="dk1"/>
    </dgm:txFillClrLst>
    <dgm:txEffectClrLst/>
  </dgm:styleLbl>
  <dgm:styleLbl name="fgAccFollowNode1">
    <dgm:fillClrLst meth="repeat">
      <a:schemeClr val="accent5">
        <a:alpha val="90000"/>
        <a:tint val="40000"/>
      </a:schemeClr>
    </dgm:fillClrLst>
    <dgm:linClrLst meth="repeat">
      <a:schemeClr val="accent5">
        <a:alpha val="90000"/>
        <a:tint val="40000"/>
      </a:schemeClr>
    </dgm:linClrLst>
    <dgm:effectClrLst/>
    <dgm:txLinClrLst/>
    <dgm:txFillClrLst meth="repeat">
      <a:schemeClr val="dk1"/>
    </dgm:txFillClrLst>
    <dgm:txEffectClrLst/>
  </dgm:styleLbl>
  <dgm:styleLbl name="alignAccFollowNode1">
    <dgm:fillClrLst meth="repeat">
      <a:schemeClr val="accent5">
        <a:alpha val="90000"/>
        <a:tint val="40000"/>
      </a:schemeClr>
    </dgm:fillClrLst>
    <dgm:linClrLst meth="repeat">
      <a:schemeClr val="accent5">
        <a:alpha val="90000"/>
        <a:tint val="40000"/>
      </a:schemeClr>
    </dgm:linClrLst>
    <dgm:effectClrLst/>
    <dgm:txLinClrLst/>
    <dgm:txFillClrLst meth="repeat">
      <a:schemeClr val="dk1"/>
    </dgm:txFillClrLst>
    <dgm:txEffectClrLst/>
  </dgm:styleLbl>
  <dgm:styleLbl name="bgAccFollowNode1">
    <dgm:fillClrLst meth="repeat">
      <a:schemeClr val="accent5">
        <a:alpha val="90000"/>
        <a:tint val="40000"/>
      </a:schemeClr>
    </dgm:fillClrLst>
    <dgm:linClrLst meth="repeat">
      <a:schemeClr val="accent5">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5"/>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5"/>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5"/>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5"/>
    </dgm:linClrLst>
    <dgm:effectClrLst/>
    <dgm:txLinClrLst/>
    <dgm:txFillClrLst meth="repeat">
      <a:schemeClr val="dk1"/>
    </dgm:txFillClrLst>
    <dgm:txEffectClrLst/>
  </dgm:styleLbl>
  <dgm:styleLbl name="bgShp">
    <dgm:fillClrLst meth="repeat">
      <a:schemeClr val="accent5">
        <a:tint val="40000"/>
      </a:schemeClr>
    </dgm:fillClrLst>
    <dgm:linClrLst meth="repeat">
      <a:schemeClr val="accent5"/>
    </dgm:linClrLst>
    <dgm:effectClrLst/>
    <dgm:txLinClrLst/>
    <dgm:txFillClrLst meth="repeat">
      <a:schemeClr val="dk1"/>
    </dgm:txFillClrLst>
    <dgm:txEffectClrLst/>
  </dgm:styleLbl>
  <dgm:styleLbl name="dkBgShp">
    <dgm:fillClrLst meth="repeat">
      <a:schemeClr val="accent5">
        <a:shade val="80000"/>
      </a:schemeClr>
    </dgm:fillClrLst>
    <dgm:linClrLst meth="repeat">
      <a:schemeClr val="accent5"/>
    </dgm:linClrLst>
    <dgm:effectClrLst/>
    <dgm:txLinClrLst/>
    <dgm:txFillClrLst meth="repeat">
      <a:schemeClr val="lt1"/>
    </dgm:txFillClrLst>
    <dgm:txEffectClrLst/>
  </dgm:styleLbl>
  <dgm:styleLbl name="trBgShp">
    <dgm:fillClrLst meth="repeat">
      <a:schemeClr val="accent5">
        <a:tint val="50000"/>
        <a:alpha val="40000"/>
      </a:schemeClr>
    </dgm:fillClrLst>
    <dgm:linClrLst meth="repeat">
      <a:schemeClr val="accent5"/>
    </dgm:linClrLst>
    <dgm:effectClrLst/>
    <dgm:txLinClrLst/>
    <dgm:txFillClrLst meth="repeat">
      <a:schemeClr val="lt1"/>
    </dgm:txFillClrLst>
    <dgm:txEffectClrLst/>
  </dgm:styleLbl>
  <dgm:styleLbl name="fgShp">
    <dgm:fillClrLst meth="repeat">
      <a:schemeClr val="accent5">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5">
  <dgm:title val=""/>
  <dgm:desc val=""/>
  <dgm:catLst>
    <dgm:cat type="accent1" pri="11500"/>
  </dgm:catLst>
  <dgm:styleLbl name="node0">
    <dgm:fillClrLst meth="cycle">
      <a:schemeClr val="accent1">
        <a:alpha val="80000"/>
      </a:schemeClr>
    </dgm:fillClrLst>
    <dgm:linClrLst meth="repeat">
      <a:schemeClr val="lt1"/>
    </dgm:linClrLst>
    <dgm:effectClrLst/>
    <dgm:txLinClrLst/>
    <dgm:txFillClrLst/>
    <dgm:txEffectClrLst/>
  </dgm:styleLbl>
  <dgm:styleLbl name="node1">
    <dgm:fillClrLst>
      <a:schemeClr val="accent1">
        <a:alpha val="90000"/>
      </a:schemeClr>
      <a:schemeClr val="accent1">
        <a:alpha val="50000"/>
      </a:schemeClr>
    </dgm:fillClrLst>
    <dgm:linClrLst meth="repeat">
      <a:schemeClr val="lt1"/>
    </dgm:linClrLst>
    <dgm:effectClrLst/>
    <dgm:txLinClrLst/>
    <dgm:txFillClrLst/>
    <dgm:txEffectClrLst/>
  </dgm:styleLbl>
  <dgm:styleLbl name="alignNode1">
    <dgm:fillClrLst>
      <a:schemeClr val="accent1">
        <a:alpha val="90000"/>
      </a:schemeClr>
      <a:schemeClr val="accent1">
        <a:alpha val="50000"/>
      </a:schemeClr>
    </dgm:fillClrLst>
    <dgm:linClrLst>
      <a:schemeClr val="accent1">
        <a:alpha val="90000"/>
      </a:schemeClr>
      <a:schemeClr val="accent1">
        <a:alpha val="50000"/>
      </a:schemeClr>
    </dgm:linClrLst>
    <dgm:effectClrLst/>
    <dgm:txLinClrLst/>
    <dgm:txFillClrLst/>
    <dgm:txEffectClrLst/>
  </dgm:styleLbl>
  <dgm:styleLbl name="lnNode1">
    <dgm:fillClrLst>
      <a:schemeClr val="accent1">
        <a:shade val="90000"/>
      </a:schemeClr>
      <a:schemeClr val="accent1">
        <a:alpha val="50000"/>
        <a:tint val="50000"/>
      </a:schemeClr>
    </dgm:fillClrLst>
    <dgm:linClrLst meth="repeat">
      <a:schemeClr val="lt1"/>
    </dgm:linClrLst>
    <dgm:effectClrLst/>
    <dgm:txLinClrLst/>
    <dgm:txFillClrLst/>
    <dgm:txEffectClrLst/>
  </dgm:styleLbl>
  <dgm:styleLbl name="vennNode1">
    <dgm:fillClrLst>
      <a:schemeClr val="accent1">
        <a:shade val="80000"/>
        <a:alpha val="50000"/>
      </a:schemeClr>
      <a:schemeClr val="accent1">
        <a:alpha val="80000"/>
      </a:schemeClr>
    </dgm:fillClrLst>
    <dgm:linClrLst meth="repeat">
      <a:schemeClr val="lt1"/>
    </dgm:linClrLst>
    <dgm:effectClrLst/>
    <dgm:txLinClrLst/>
    <dgm:txFillClrLst/>
    <dgm:txEffectClrLst/>
  </dgm:styleLbl>
  <dgm:styleLbl name="node2">
    <dgm:fillClrLst>
      <a:schemeClr val="accent1">
        <a:alpha val="70000"/>
      </a:schemeClr>
    </dgm:fillClrLst>
    <dgm:linClrLst meth="repeat">
      <a:schemeClr val="lt1"/>
    </dgm:linClrLst>
    <dgm:effectClrLst/>
    <dgm:txLinClrLst/>
    <dgm:txFillClrLst/>
    <dgm:txEffectClrLst/>
  </dgm:styleLbl>
  <dgm:styleLbl name="node3">
    <dgm:fillClrLst>
      <a:schemeClr val="accent1">
        <a:alpha val="50000"/>
      </a:schemeClr>
    </dgm:fillClrLst>
    <dgm:linClrLst meth="repeat">
      <a:schemeClr val="lt1"/>
    </dgm:linClrLst>
    <dgm:effectClrLst/>
    <dgm:txLinClrLst/>
    <dgm:txFillClrLst/>
    <dgm:txEffectClrLst/>
  </dgm:styleLbl>
  <dgm:styleLbl name="node4">
    <dgm:fillClrLst>
      <a:schemeClr val="accent1">
        <a:alpha val="30000"/>
      </a:schemeClr>
    </dgm:fillClrLst>
    <dgm:linClrLst meth="repeat">
      <a:schemeClr val="lt1"/>
    </dgm:linClrLst>
    <dgm:effectClrLst/>
    <dgm:txLinClrLst/>
    <dgm:txFillClrLst/>
    <dgm:txEffectClrLst/>
  </dgm:styleLbl>
  <dgm:styleLbl name="fgImgPlace1">
    <dgm:fillClrLst>
      <a:schemeClr val="accent1">
        <a:tint val="50000"/>
        <a:alpha val="90000"/>
      </a:schemeClr>
      <a:schemeClr val="accent1">
        <a:tint val="20000"/>
        <a:alpha val="50000"/>
      </a:schemeClr>
    </dgm:fillClrLst>
    <dgm:linClrLst meth="repeat">
      <a:schemeClr val="lt1"/>
    </dgm:linClrLst>
    <dgm:effectClrLst/>
    <dgm:txLinClrLst/>
    <dgm:txFillClrLst meth="repeat">
      <a:schemeClr val="lt1"/>
    </dgm:txFillClrLst>
    <dgm:txEffectClrLst/>
  </dgm:styleLbl>
  <dgm:styleLbl name="alignImgPlace1">
    <dgm:fillClrLst>
      <a:schemeClr val="accent1">
        <a:tint val="50000"/>
      </a:schemeClr>
      <a:schemeClr val="accent1">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1">
        <a:tint val="50000"/>
      </a:schemeClr>
      <a:schemeClr val="accent1">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1">
        <a:shade val="90000"/>
      </a:schemeClr>
      <a:schemeClr val="accent1">
        <a:tint val="50000"/>
      </a:schemeClr>
    </dgm:fillClrLst>
    <dgm:linClrLst>
      <a:schemeClr val="accent1">
        <a:shade val="90000"/>
      </a:schemeClr>
      <a:schemeClr val="accent1">
        <a:tint val="50000"/>
      </a:schemeClr>
    </dgm:linClrLst>
    <dgm:effectClrLst/>
    <dgm:txLinClrLst/>
    <dgm:txFillClrLst/>
    <dgm:txEffectClrLst/>
  </dgm:styleLbl>
  <dgm:styleLbl name="fgSibTrans2D1">
    <dgm:fillClrLst>
      <a:schemeClr val="accent1">
        <a:shade val="90000"/>
      </a:schemeClr>
      <a:schemeClr val="accent1">
        <a:tint val="50000"/>
      </a:schemeClr>
    </dgm:fillClrLst>
    <dgm:linClrLst>
      <a:schemeClr val="accent1">
        <a:shade val="90000"/>
      </a:schemeClr>
      <a:schemeClr val="accent1">
        <a:tint val="50000"/>
      </a:schemeClr>
    </dgm:linClrLst>
    <dgm:effectClrLst/>
    <dgm:txLinClrLst/>
    <dgm:txFillClrLst/>
    <dgm:txEffectClrLst/>
  </dgm:styleLbl>
  <dgm:styleLbl name="bgSibTrans2D1">
    <dgm:fillClrLst>
      <a:schemeClr val="accent1">
        <a:shade val="90000"/>
      </a:schemeClr>
      <a:schemeClr val="accent1">
        <a:tint val="50000"/>
      </a:schemeClr>
    </dgm:fillClrLst>
    <dgm:linClrLst>
      <a:schemeClr val="accent1">
        <a:shade val="90000"/>
      </a:schemeClr>
      <a:schemeClr val="accent1">
        <a:tint val="50000"/>
      </a:schemeClr>
    </dgm:linClrLst>
    <dgm:effectClrLst/>
    <dgm:txLinClrLst/>
    <dgm:txFillClrLst/>
    <dgm:txEffectClrLst/>
  </dgm:styleLbl>
  <dgm:styleLbl name="sibTrans1D1">
    <dgm:fillClrLst>
      <a:schemeClr val="accent1">
        <a:shade val="90000"/>
      </a:schemeClr>
      <a:schemeClr val="accent1">
        <a:tint val="50000"/>
      </a:schemeClr>
    </dgm:fillClrLst>
    <dgm:linClrLst>
      <a:schemeClr val="accent1">
        <a:shade val="90000"/>
      </a:schemeClr>
      <a:schemeClr val="accent1">
        <a:tint val="50000"/>
      </a:schemeClr>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accent1">
        <a:alpha val="90000"/>
      </a:schemeClr>
    </dgm:fillClrLst>
    <dgm:linClrLst meth="repeat">
      <a:schemeClr val="lt1"/>
    </dgm:linClrLst>
    <dgm:effectClrLst/>
    <dgm:txLinClrLst/>
    <dgm:txFillClrLst/>
    <dgm:txEffectClrLst/>
  </dgm:styleLbl>
  <dgm:styleLbl name="asst1">
    <dgm:fillClrLst meth="repeat">
      <a:schemeClr val="accent1">
        <a:alpha val="90000"/>
      </a:schemeClr>
    </dgm:fillClrLst>
    <dgm:linClrLst meth="repeat">
      <a:schemeClr val="lt1"/>
    </dgm:linClrLst>
    <dgm:effectClrLst/>
    <dgm:txLinClrLst/>
    <dgm:txFillClrLst/>
    <dgm:txEffectClrLst/>
  </dgm:styleLbl>
  <dgm:styleLbl name="asst2">
    <dgm:fillClrLst>
      <a:schemeClr val="accent1">
        <a:alpha val="90000"/>
      </a:schemeClr>
    </dgm:fillClrLst>
    <dgm:linClrLst meth="repeat">
      <a:schemeClr val="lt1"/>
    </dgm:linClrLst>
    <dgm:effectClrLst/>
    <dgm:txLinClrLst/>
    <dgm:txFillClrLst/>
    <dgm:txEffectClrLst/>
  </dgm:styleLbl>
  <dgm:styleLbl name="asst3">
    <dgm:fillClrLst>
      <a:schemeClr val="accent1">
        <a:alpha val="70000"/>
      </a:schemeClr>
    </dgm:fillClrLst>
    <dgm:linClrLst meth="repeat">
      <a:schemeClr val="lt1"/>
    </dgm:linClrLst>
    <dgm:effectClrLst/>
    <dgm:txLinClrLst/>
    <dgm:txFillClrLst/>
    <dgm:txEffectClrLst/>
  </dgm:styleLbl>
  <dgm:styleLbl name="asst4">
    <dgm:fillClrLst>
      <a:schemeClr val="accent1">
        <a:alpha val="50000"/>
      </a:schemeClr>
    </dgm:fillClrLst>
    <dgm:linClrLst meth="repeat">
      <a:schemeClr val="lt1"/>
    </dgm:linClrLst>
    <dgm:effectClrLst/>
    <dgm:txLinClrLst/>
    <dgm:txFillClrLst/>
    <dgm:txEffectClrLst/>
  </dgm:styleLbl>
  <dgm:styleLbl name="parChTrans2D1">
    <dgm:fillClrLst meth="repeat">
      <a:schemeClr val="accent1">
        <a:shade val="80000"/>
      </a:schemeClr>
    </dgm:fillClrLst>
    <dgm:linClrLst meth="repeat">
      <a:schemeClr val="accent1">
        <a:shade val="80000"/>
      </a:schemeClr>
    </dgm:linClrLst>
    <dgm:effectClrLst/>
    <dgm:txLinClrLst/>
    <dgm:txFillClrLst/>
    <dgm:txEffectClrLst/>
  </dgm:styleLbl>
  <dgm:styleLbl name="parChTrans2D2">
    <dgm:fillClrLst meth="repeat">
      <a:schemeClr val="accent1">
        <a:tint val="90000"/>
      </a:schemeClr>
    </dgm:fillClrLst>
    <dgm:linClrLst meth="repeat">
      <a:schemeClr val="accent1">
        <a:tint val="90000"/>
      </a:schemeClr>
    </dgm:linClrLst>
    <dgm:effectClrLst/>
    <dgm:txLinClrLst/>
    <dgm:txFillClrLst/>
    <dgm:txEffectClrLst/>
  </dgm:styleLbl>
  <dgm:styleLbl name="parChTrans2D3">
    <dgm:fillClrLst meth="repeat">
      <a:schemeClr val="accent1">
        <a:tint val="70000"/>
      </a:schemeClr>
    </dgm:fillClrLst>
    <dgm:linClrLst meth="repeat">
      <a:schemeClr val="accent1">
        <a:tint val="70000"/>
      </a:schemeClr>
    </dgm:linClrLst>
    <dgm:effectClrLst/>
    <dgm:txLinClrLst/>
    <dgm:txFillClrLst/>
    <dgm:txEffectClrLst/>
  </dgm:styleLbl>
  <dgm:styleLbl name="parChTrans2D4">
    <dgm:fillClrLst meth="repeat">
      <a:schemeClr val="accent1">
        <a:tint val="50000"/>
      </a:schemeClr>
    </dgm:fillClrLst>
    <dgm:linClrLst meth="repeat">
      <a:schemeClr val="accent1">
        <a:tint val="50000"/>
      </a:schemeClr>
    </dgm:linClrLst>
    <dgm:effectClrLst/>
    <dgm:txLinClrLst/>
    <dgm:txFillClrLst meth="repeat">
      <a:schemeClr val="dk1"/>
    </dgm:txFillClrLst>
    <dgm:txEffectClrLst/>
  </dgm:styleLbl>
  <dgm:styleLbl name="parChTrans1D1">
    <dgm:fillClrLst meth="repeat">
      <a:schemeClr val="accent1">
        <a:shade val="80000"/>
      </a:schemeClr>
    </dgm:fillClrLst>
    <dgm:linClrLst meth="repeat">
      <a:schemeClr val="accent1">
        <a:shade val="80000"/>
      </a:schemeClr>
    </dgm:linClrLst>
    <dgm:effectClrLst/>
    <dgm:txLinClrLst/>
    <dgm:txFillClrLst meth="repeat">
      <a:schemeClr val="tx1"/>
    </dgm:txFillClrLst>
    <dgm:txEffectClrLst/>
  </dgm:styleLbl>
  <dgm:styleLbl name="parChTrans1D2">
    <dgm:fillClrLst meth="repeat">
      <a:schemeClr val="accent1">
        <a:tint val="90000"/>
      </a:schemeClr>
    </dgm:fillClrLst>
    <dgm:linClrLst meth="repeat">
      <a:schemeClr val="accent1">
        <a:tint val="90000"/>
      </a:schemeClr>
    </dgm:linClrLst>
    <dgm:effectClrLst/>
    <dgm:txLinClrLst/>
    <dgm:txFillClrLst meth="repeat">
      <a:schemeClr val="tx1"/>
    </dgm:txFillClrLst>
    <dgm:txEffectClrLst/>
  </dgm:styleLbl>
  <dgm:styleLbl name="parChTrans1D3">
    <dgm:fillClrLst meth="repeat">
      <a:schemeClr val="accent1">
        <a:tint val="70000"/>
      </a:schemeClr>
    </dgm:fillClrLst>
    <dgm:linClrLst meth="repeat">
      <a:schemeClr val="accent1">
        <a:tint val="70000"/>
      </a:schemeClr>
    </dgm:linClrLst>
    <dgm:effectClrLst/>
    <dgm:txLinClrLst/>
    <dgm:txFillClrLst meth="repeat">
      <a:schemeClr val="tx1"/>
    </dgm:txFillClrLst>
    <dgm:txEffectClrLst/>
  </dgm:styleLbl>
  <dgm:styleLbl name="parChTrans1D4">
    <dgm:fillClrLst meth="repeat">
      <a:schemeClr val="accent1">
        <a:tint val="50000"/>
      </a:schemeClr>
    </dgm:fillClrLst>
    <dgm:linClrLst meth="repeat">
      <a:schemeClr val="accent1">
        <a:tint val="50000"/>
      </a:schemeClr>
    </dgm:linClrLst>
    <dgm:effectClrLst/>
    <dgm:txLinClrLst/>
    <dgm:txFillClrLst meth="repeat">
      <a:schemeClr val="tx1"/>
    </dgm:txFillClrLst>
    <dgm:txEffectClrLst/>
  </dgm:styleLbl>
  <dgm:styleLbl name="fgAcc1">
    <dgm:fillClrLst meth="repeat">
      <a:schemeClr val="lt1">
        <a:alpha val="90000"/>
      </a:schemeClr>
    </dgm:fillClrLst>
    <dgm:linClrLst>
      <a:schemeClr val="accent1">
        <a:alpha val="90000"/>
      </a:schemeClr>
      <a:schemeClr val="accent1">
        <a:alpha val="50000"/>
      </a:schemeClr>
    </dgm:linClrLst>
    <dgm:effectClrLst/>
    <dgm:txLinClrLst/>
    <dgm:txFillClrLst meth="repeat">
      <a:schemeClr val="dk1"/>
    </dgm:txFillClrLst>
    <dgm:txEffectClrLst/>
  </dgm:styleLbl>
  <dgm:styleLbl name="conFgAcc1">
    <dgm:fillClrLst meth="repeat">
      <a:schemeClr val="lt1">
        <a:alpha val="90000"/>
      </a:schemeClr>
    </dgm:fillClrLst>
    <dgm:linClrLst>
      <a:schemeClr val="accent1">
        <a:alpha val="90000"/>
      </a:schemeClr>
      <a:schemeClr val="accent1">
        <a:alpha val="50000"/>
      </a:schemeClr>
    </dgm:linClrLst>
    <dgm:effectClrLst/>
    <dgm:txLinClrLst/>
    <dgm:txFillClrLst meth="repeat">
      <a:schemeClr val="dk1"/>
    </dgm:txFillClrLst>
    <dgm:txEffectClrLst/>
  </dgm:styleLbl>
  <dgm:styleLbl name="alignAcc1">
    <dgm:fillClrLst meth="repeat">
      <a:schemeClr val="lt1">
        <a:alpha val="90000"/>
      </a:schemeClr>
    </dgm:fillClrLst>
    <dgm:linClrLst>
      <a:schemeClr val="accent1">
        <a:alpha val="90000"/>
      </a:schemeClr>
      <a:schemeClr val="accent1">
        <a:alpha val="50000"/>
      </a:schemeClr>
    </dgm:linClrLst>
    <dgm:effectClrLst/>
    <dgm:txLinClrLst/>
    <dgm:txFillClrLst meth="repeat">
      <a:schemeClr val="dk1"/>
    </dgm:txFillClrLst>
    <dgm:txEffectClrLst/>
  </dgm:styleLbl>
  <dgm:styleLbl name="trAlignAcc1">
    <dgm:fillClrLst meth="repeat">
      <a:schemeClr val="lt1">
        <a:alpha val="40000"/>
      </a:schemeClr>
    </dgm:fillClrLst>
    <dgm:linClrLst>
      <a:schemeClr val="accent1">
        <a:alpha val="90000"/>
      </a:schemeClr>
      <a:schemeClr val="accent1">
        <a:alpha val="50000"/>
      </a:schemeClr>
    </dgm:linClrLst>
    <dgm:effectClrLst/>
    <dgm:txLinClrLst/>
    <dgm:txFillClrLst meth="repeat">
      <a:schemeClr val="dk1"/>
    </dgm:txFillClrLst>
    <dgm:txEffectClrLst/>
  </dgm:styleLbl>
  <dgm:styleLbl name="bgAcc1">
    <dgm:fillClrLst meth="repeat">
      <a:schemeClr val="lt1">
        <a:alpha val="90000"/>
      </a:schemeClr>
    </dgm:fillClrLst>
    <dgm:linClrLst>
      <a:schemeClr val="accent1">
        <a:alpha val="90000"/>
      </a:schemeClr>
      <a:schemeClr val="accent1">
        <a:alpha val="50000"/>
      </a:schemeClr>
    </dgm:linClrLst>
    <dgm:effectClrLst/>
    <dgm:txLinClrLst/>
    <dgm:txFillClrLst meth="repeat">
      <a:schemeClr val="dk1"/>
    </dgm:txFillClrLst>
    <dgm:txEffectClrLst/>
  </dgm:styleLbl>
  <dgm:styleLbl name="solidFgAcc1">
    <dgm:fillClrLst meth="repeat">
      <a:schemeClr val="lt1"/>
    </dgm:fillClrLst>
    <dgm:linClrLst>
      <a:schemeClr val="accent1">
        <a:alpha val="90000"/>
      </a:schemeClr>
      <a:schemeClr val="accent1">
        <a:alpha val="50000"/>
      </a:schemeClr>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a:schemeClr val="accent1">
        <a:alpha val="90000"/>
        <a:tint val="40000"/>
      </a:schemeClr>
      <a:schemeClr val="accent1">
        <a:alpha val="5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lt1"/>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a:shade val="80000"/>
      </a:schemeClr>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a:tint val="90000"/>
      </a:schemeClr>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a:tint val="70000"/>
      </a:schemeClr>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a:tint val="50000"/>
      </a:schemeClr>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1">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4C31BF3C-CFB4-4232-BA49-6393D90362B9}" type="doc">
      <dgm:prSet loTypeId="urn:microsoft.com/office/officeart/2005/8/layout/hList9" loCatId="list" qsTypeId="urn:microsoft.com/office/officeart/2005/8/quickstyle/simple2" qsCatId="simple" csTypeId="urn:microsoft.com/office/officeart/2005/8/colors/accent5_2" csCatId="accent5" phldr="1"/>
      <dgm:spPr/>
      <dgm:t>
        <a:bodyPr/>
        <a:lstStyle/>
        <a:p>
          <a:endParaRPr lang="ca-ES"/>
        </a:p>
      </dgm:t>
    </dgm:pt>
    <dgm:pt modelId="{AAA98418-2DB7-41E0-B6A5-E48AE9708B10}">
      <dgm:prSet phldrT="[Text]"/>
      <dgm:spPr/>
      <dgm:t>
        <a:bodyPr/>
        <a:lstStyle/>
        <a:p>
          <a:r>
            <a:rPr lang="cs-CZ"/>
            <a:t>Práva</a:t>
          </a:r>
        </a:p>
      </dgm:t>
    </dgm:pt>
    <dgm:pt modelId="{13D0AA84-C8A1-4FE7-B40B-B5B15B369A00}" type="parTrans" cxnId="{B5A0057F-CD46-406F-BF15-51B3CA6D93F9}">
      <dgm:prSet/>
      <dgm:spPr/>
      <dgm:t>
        <a:bodyPr/>
        <a:lstStyle/>
        <a:p>
          <a:endParaRPr lang="ca-ES"/>
        </a:p>
      </dgm:t>
    </dgm:pt>
    <dgm:pt modelId="{3F48A840-1D07-477D-BE46-59A80619B75E}" type="sibTrans" cxnId="{B5A0057F-CD46-406F-BF15-51B3CA6D93F9}">
      <dgm:prSet/>
      <dgm:spPr/>
      <dgm:t>
        <a:bodyPr/>
        <a:lstStyle/>
        <a:p>
          <a:endParaRPr lang="ca-ES"/>
        </a:p>
      </dgm:t>
    </dgm:pt>
    <dgm:pt modelId="{63848847-5C81-47E7-A49B-B71B0ABE4C07}">
      <dgm:prSet phldrT="[Text]" custT="1"/>
      <dgm:spPr/>
      <dgm:t>
        <a:bodyPr/>
        <a:lstStyle/>
        <a:p>
          <a:r>
            <a:rPr lang="cs-CZ" sz="1000"/>
            <a:t>Právo na život (článek 2)</a:t>
          </a:r>
        </a:p>
        <a:p>
          <a:r>
            <a:rPr lang="cs-CZ" sz="1000"/>
            <a:t>Právo na svobodu a bezpečnost (článek 6)</a:t>
          </a:r>
        </a:p>
        <a:p>
          <a:r>
            <a:rPr lang="cs-CZ" sz="1000"/>
            <a:t>Právo na respektování soukromého a rodinného života (článek 8)</a:t>
          </a:r>
        </a:p>
        <a:p>
          <a:r>
            <a:rPr lang="cs-CZ" sz="1000"/>
            <a:t>Zákaz mučení (článek 4)</a:t>
          </a:r>
        </a:p>
        <a:p>
          <a:r>
            <a:rPr lang="cs-CZ" sz="700"/>
            <a:t>...</a:t>
          </a:r>
        </a:p>
      </dgm:t>
    </dgm:pt>
    <dgm:pt modelId="{EABD3211-9090-4AB8-BC15-640C64E16E91}" type="parTrans" cxnId="{23A52DFE-968D-40F8-A2A1-A8D2EA1EDB79}">
      <dgm:prSet/>
      <dgm:spPr/>
      <dgm:t>
        <a:bodyPr/>
        <a:lstStyle/>
        <a:p>
          <a:endParaRPr lang="ca-ES"/>
        </a:p>
      </dgm:t>
    </dgm:pt>
    <dgm:pt modelId="{303742EF-532C-4B39-96AC-EBCD44DE3AEC}" type="sibTrans" cxnId="{23A52DFE-968D-40F8-A2A1-A8D2EA1EDB79}">
      <dgm:prSet/>
      <dgm:spPr/>
      <dgm:t>
        <a:bodyPr/>
        <a:lstStyle/>
        <a:p>
          <a:endParaRPr lang="ca-ES"/>
        </a:p>
      </dgm:t>
    </dgm:pt>
    <dgm:pt modelId="{095DF408-A325-41F2-B5AB-2144435CA267}">
      <dgm:prSet phldrT="[Text]"/>
      <dgm:spPr/>
      <dgm:t>
        <a:bodyPr/>
        <a:lstStyle/>
        <a:p>
          <a:r>
            <a:rPr lang="cs-CZ"/>
            <a:t>Zásady</a:t>
          </a:r>
        </a:p>
      </dgm:t>
    </dgm:pt>
    <dgm:pt modelId="{0E7F61F7-7CDF-4BB1-AAC1-39CB44CB16B3}" type="parTrans" cxnId="{78D8C084-96B8-42FB-8876-6898D7E1F0DF}">
      <dgm:prSet/>
      <dgm:spPr/>
      <dgm:t>
        <a:bodyPr/>
        <a:lstStyle/>
        <a:p>
          <a:endParaRPr lang="ca-ES"/>
        </a:p>
      </dgm:t>
    </dgm:pt>
    <dgm:pt modelId="{5D08062A-4A62-43A1-B6CB-58AF34E21DCB}" type="sibTrans" cxnId="{78D8C084-96B8-42FB-8876-6898D7E1F0DF}">
      <dgm:prSet/>
      <dgm:spPr/>
      <dgm:t>
        <a:bodyPr/>
        <a:lstStyle/>
        <a:p>
          <a:endParaRPr lang="ca-ES"/>
        </a:p>
      </dgm:t>
    </dgm:pt>
    <dgm:pt modelId="{DED50D6C-64AC-425A-B3E3-6608D9EAB4D5}">
      <dgm:prSet phldrT="[Text]" custT="1"/>
      <dgm:spPr/>
      <dgm:t>
        <a:bodyPr/>
        <a:lstStyle/>
        <a:p>
          <a:r>
            <a:rPr lang="cs-CZ" sz="1000"/>
            <a:t>Svoboda podnikání (článek 16)</a:t>
          </a:r>
        </a:p>
        <a:p>
          <a:r>
            <a:rPr lang="cs-CZ" sz="1000"/>
            <a:t>Právo na kolektivní vyjednávání a akce (článek 28)</a:t>
          </a:r>
        </a:p>
        <a:p>
          <a:r>
            <a:rPr lang="cs-CZ" sz="1000"/>
            <a:t>Ochrana životního prostředí (článek 37)</a:t>
          </a:r>
        </a:p>
        <a:p>
          <a:r>
            <a:rPr lang="cs-CZ" sz="1000"/>
            <a:t>... </a:t>
          </a:r>
        </a:p>
      </dgm:t>
    </dgm:pt>
    <dgm:pt modelId="{5833592C-091D-4902-97BD-F61DA927542D}" type="parTrans" cxnId="{91A65B0B-7538-4218-BADB-DD696774962B}">
      <dgm:prSet/>
      <dgm:spPr/>
      <dgm:t>
        <a:bodyPr/>
        <a:lstStyle/>
        <a:p>
          <a:endParaRPr lang="ca-ES"/>
        </a:p>
      </dgm:t>
    </dgm:pt>
    <dgm:pt modelId="{4AF98E52-FD93-4669-8292-B0796E7A7944}" type="sibTrans" cxnId="{91A65B0B-7538-4218-BADB-DD696774962B}">
      <dgm:prSet/>
      <dgm:spPr/>
      <dgm:t>
        <a:bodyPr/>
        <a:lstStyle/>
        <a:p>
          <a:endParaRPr lang="ca-ES"/>
        </a:p>
      </dgm:t>
    </dgm:pt>
    <dgm:pt modelId="{364E8096-E2B5-40CA-A0EF-12F36E77964C}" type="pres">
      <dgm:prSet presAssocID="{4C31BF3C-CFB4-4232-BA49-6393D90362B9}" presName="list" presStyleCnt="0">
        <dgm:presLayoutVars>
          <dgm:dir/>
          <dgm:animLvl val="lvl"/>
        </dgm:presLayoutVars>
      </dgm:prSet>
      <dgm:spPr/>
    </dgm:pt>
    <dgm:pt modelId="{D657F2EF-EA72-42CB-8C6C-054675DD9375}" type="pres">
      <dgm:prSet presAssocID="{AAA98418-2DB7-41E0-B6A5-E48AE9708B10}" presName="posSpace" presStyleCnt="0"/>
      <dgm:spPr/>
    </dgm:pt>
    <dgm:pt modelId="{CA72D155-0751-4040-B01C-52DCB4612CA3}" type="pres">
      <dgm:prSet presAssocID="{AAA98418-2DB7-41E0-B6A5-E48AE9708B10}" presName="vertFlow" presStyleCnt="0"/>
      <dgm:spPr/>
    </dgm:pt>
    <dgm:pt modelId="{1B19185C-DF1D-498C-9221-E5C12E333909}" type="pres">
      <dgm:prSet presAssocID="{AAA98418-2DB7-41E0-B6A5-E48AE9708B10}" presName="topSpace" presStyleCnt="0"/>
      <dgm:spPr/>
    </dgm:pt>
    <dgm:pt modelId="{10D8D41C-3A42-433C-BD09-9A5091A5781A}" type="pres">
      <dgm:prSet presAssocID="{AAA98418-2DB7-41E0-B6A5-E48AE9708B10}" presName="firstComp" presStyleCnt="0"/>
      <dgm:spPr/>
    </dgm:pt>
    <dgm:pt modelId="{B0620D57-AD93-49BC-9A43-2A169E43592F}" type="pres">
      <dgm:prSet presAssocID="{AAA98418-2DB7-41E0-B6A5-E48AE9708B10}" presName="firstChild" presStyleLbl="bgAccFollowNode1" presStyleIdx="0" presStyleCnt="2" custScaleY="146209"/>
      <dgm:spPr/>
    </dgm:pt>
    <dgm:pt modelId="{A8752821-BD52-4C8E-83EA-4C3F4210DD93}" type="pres">
      <dgm:prSet presAssocID="{AAA98418-2DB7-41E0-B6A5-E48AE9708B10}" presName="firstChildTx" presStyleLbl="bgAccFollowNode1" presStyleIdx="0" presStyleCnt="2">
        <dgm:presLayoutVars>
          <dgm:bulletEnabled val="1"/>
        </dgm:presLayoutVars>
      </dgm:prSet>
      <dgm:spPr/>
    </dgm:pt>
    <dgm:pt modelId="{FC537F22-51A2-4B56-97B8-7E15EFAC065A}" type="pres">
      <dgm:prSet presAssocID="{AAA98418-2DB7-41E0-B6A5-E48AE9708B10}" presName="negSpace" presStyleCnt="0"/>
      <dgm:spPr/>
    </dgm:pt>
    <dgm:pt modelId="{6A1669C2-4A0B-43B2-83C9-C8C1050A2793}" type="pres">
      <dgm:prSet presAssocID="{AAA98418-2DB7-41E0-B6A5-E48AE9708B10}" presName="circle" presStyleLbl="node1" presStyleIdx="0" presStyleCnt="2"/>
      <dgm:spPr/>
    </dgm:pt>
    <dgm:pt modelId="{42758CC1-50ED-4EE2-A2FC-0D3AE10157A9}" type="pres">
      <dgm:prSet presAssocID="{3F48A840-1D07-477D-BE46-59A80619B75E}" presName="transSpace" presStyleCnt="0"/>
      <dgm:spPr/>
    </dgm:pt>
    <dgm:pt modelId="{B8DF4137-5CEC-42A3-A7E2-A2CC719D40CD}" type="pres">
      <dgm:prSet presAssocID="{095DF408-A325-41F2-B5AB-2144435CA267}" presName="posSpace" presStyleCnt="0"/>
      <dgm:spPr/>
    </dgm:pt>
    <dgm:pt modelId="{DAFBBEE6-719C-462A-BB81-19BB82A3F7E9}" type="pres">
      <dgm:prSet presAssocID="{095DF408-A325-41F2-B5AB-2144435CA267}" presName="vertFlow" presStyleCnt="0"/>
      <dgm:spPr/>
    </dgm:pt>
    <dgm:pt modelId="{27F8F585-77B1-433C-921C-6344320F8ED3}" type="pres">
      <dgm:prSet presAssocID="{095DF408-A325-41F2-B5AB-2144435CA267}" presName="topSpace" presStyleCnt="0"/>
      <dgm:spPr/>
    </dgm:pt>
    <dgm:pt modelId="{F41D8C8E-8A51-4036-9E83-59BB10496BBC}" type="pres">
      <dgm:prSet presAssocID="{095DF408-A325-41F2-B5AB-2144435CA267}" presName="firstComp" presStyleCnt="0"/>
      <dgm:spPr/>
    </dgm:pt>
    <dgm:pt modelId="{FCD530B5-7BFB-452C-BD56-F976180369E9}" type="pres">
      <dgm:prSet presAssocID="{095DF408-A325-41F2-B5AB-2144435CA267}" presName="firstChild" presStyleLbl="bgAccFollowNode1" presStyleIdx="1" presStyleCnt="2" custScaleY="148466"/>
      <dgm:spPr/>
    </dgm:pt>
    <dgm:pt modelId="{5C0FF4A4-0A14-40B6-B4E1-000F7004565B}" type="pres">
      <dgm:prSet presAssocID="{095DF408-A325-41F2-B5AB-2144435CA267}" presName="firstChildTx" presStyleLbl="bgAccFollowNode1" presStyleIdx="1" presStyleCnt="2">
        <dgm:presLayoutVars>
          <dgm:bulletEnabled val="1"/>
        </dgm:presLayoutVars>
      </dgm:prSet>
      <dgm:spPr/>
    </dgm:pt>
    <dgm:pt modelId="{3D7FE6B1-54F5-474F-ACF9-F2BF1EAD1878}" type="pres">
      <dgm:prSet presAssocID="{095DF408-A325-41F2-B5AB-2144435CA267}" presName="negSpace" presStyleCnt="0"/>
      <dgm:spPr/>
    </dgm:pt>
    <dgm:pt modelId="{447720BD-F307-4FB9-8136-C6F0DA797394}" type="pres">
      <dgm:prSet presAssocID="{095DF408-A325-41F2-B5AB-2144435CA267}" presName="circle" presStyleLbl="node1" presStyleIdx="1" presStyleCnt="2"/>
      <dgm:spPr/>
    </dgm:pt>
  </dgm:ptLst>
  <dgm:cxnLst>
    <dgm:cxn modelId="{F6F5BA04-69AB-46B0-95DE-64B5D249292C}" type="presOf" srcId="{095DF408-A325-41F2-B5AB-2144435CA267}" destId="{447720BD-F307-4FB9-8136-C6F0DA797394}" srcOrd="0" destOrd="0" presId="urn:microsoft.com/office/officeart/2005/8/layout/hList9"/>
    <dgm:cxn modelId="{91A65B0B-7538-4218-BADB-DD696774962B}" srcId="{095DF408-A325-41F2-B5AB-2144435CA267}" destId="{DED50D6C-64AC-425A-B3E3-6608D9EAB4D5}" srcOrd="0" destOrd="0" parTransId="{5833592C-091D-4902-97BD-F61DA927542D}" sibTransId="{4AF98E52-FD93-4669-8292-B0796E7A7944}"/>
    <dgm:cxn modelId="{4BC0452F-0266-4A84-AC34-A7B174023415}" type="presOf" srcId="{DED50D6C-64AC-425A-B3E3-6608D9EAB4D5}" destId="{FCD530B5-7BFB-452C-BD56-F976180369E9}" srcOrd="0" destOrd="0" presId="urn:microsoft.com/office/officeart/2005/8/layout/hList9"/>
    <dgm:cxn modelId="{28E95F64-7ED9-4AA3-8D69-C8A1FF15CAA2}" type="presOf" srcId="{AAA98418-2DB7-41E0-B6A5-E48AE9708B10}" destId="{6A1669C2-4A0B-43B2-83C9-C8C1050A2793}" srcOrd="0" destOrd="0" presId="urn:microsoft.com/office/officeart/2005/8/layout/hList9"/>
    <dgm:cxn modelId="{50CABD65-0B1C-4FAF-A556-BF197A329524}" type="presOf" srcId="{4C31BF3C-CFB4-4232-BA49-6393D90362B9}" destId="{364E8096-E2B5-40CA-A0EF-12F36E77964C}" srcOrd="0" destOrd="0" presId="urn:microsoft.com/office/officeart/2005/8/layout/hList9"/>
    <dgm:cxn modelId="{D907AB7D-54C6-4650-B94F-2BE099961846}" type="presOf" srcId="{63848847-5C81-47E7-A49B-B71B0ABE4C07}" destId="{B0620D57-AD93-49BC-9A43-2A169E43592F}" srcOrd="0" destOrd="0" presId="urn:microsoft.com/office/officeart/2005/8/layout/hList9"/>
    <dgm:cxn modelId="{B5A0057F-CD46-406F-BF15-51B3CA6D93F9}" srcId="{4C31BF3C-CFB4-4232-BA49-6393D90362B9}" destId="{AAA98418-2DB7-41E0-B6A5-E48AE9708B10}" srcOrd="0" destOrd="0" parTransId="{13D0AA84-C8A1-4FE7-B40B-B5B15B369A00}" sibTransId="{3F48A840-1D07-477D-BE46-59A80619B75E}"/>
    <dgm:cxn modelId="{78D8C084-96B8-42FB-8876-6898D7E1F0DF}" srcId="{4C31BF3C-CFB4-4232-BA49-6393D90362B9}" destId="{095DF408-A325-41F2-B5AB-2144435CA267}" srcOrd="1" destOrd="0" parTransId="{0E7F61F7-7CDF-4BB1-AAC1-39CB44CB16B3}" sibTransId="{5D08062A-4A62-43A1-B6CB-58AF34E21DCB}"/>
    <dgm:cxn modelId="{00C4F0EB-7D31-442B-AE46-B464539A512F}" type="presOf" srcId="{63848847-5C81-47E7-A49B-B71B0ABE4C07}" destId="{A8752821-BD52-4C8E-83EA-4C3F4210DD93}" srcOrd="1" destOrd="0" presId="urn:microsoft.com/office/officeart/2005/8/layout/hList9"/>
    <dgm:cxn modelId="{531FFBFB-8DF2-4735-A8FB-C10755070D7B}" type="presOf" srcId="{DED50D6C-64AC-425A-B3E3-6608D9EAB4D5}" destId="{5C0FF4A4-0A14-40B6-B4E1-000F7004565B}" srcOrd="1" destOrd="0" presId="urn:microsoft.com/office/officeart/2005/8/layout/hList9"/>
    <dgm:cxn modelId="{23A52DFE-968D-40F8-A2A1-A8D2EA1EDB79}" srcId="{AAA98418-2DB7-41E0-B6A5-E48AE9708B10}" destId="{63848847-5C81-47E7-A49B-B71B0ABE4C07}" srcOrd="0" destOrd="0" parTransId="{EABD3211-9090-4AB8-BC15-640C64E16E91}" sibTransId="{303742EF-532C-4B39-96AC-EBCD44DE3AEC}"/>
    <dgm:cxn modelId="{39DB4926-A476-4303-B107-EDFB18BFF617}" type="presParOf" srcId="{364E8096-E2B5-40CA-A0EF-12F36E77964C}" destId="{D657F2EF-EA72-42CB-8C6C-054675DD9375}" srcOrd="0" destOrd="0" presId="urn:microsoft.com/office/officeart/2005/8/layout/hList9"/>
    <dgm:cxn modelId="{E49400B6-EA8B-4413-B851-2446E8C61461}" type="presParOf" srcId="{364E8096-E2B5-40CA-A0EF-12F36E77964C}" destId="{CA72D155-0751-4040-B01C-52DCB4612CA3}" srcOrd="1" destOrd="0" presId="urn:microsoft.com/office/officeart/2005/8/layout/hList9"/>
    <dgm:cxn modelId="{F0711E27-22E8-4C4D-AFC4-319A74C3F31E}" type="presParOf" srcId="{CA72D155-0751-4040-B01C-52DCB4612CA3}" destId="{1B19185C-DF1D-498C-9221-E5C12E333909}" srcOrd="0" destOrd="0" presId="urn:microsoft.com/office/officeart/2005/8/layout/hList9"/>
    <dgm:cxn modelId="{A8C67153-141F-4CE8-9AE2-12FF0D5A2525}" type="presParOf" srcId="{CA72D155-0751-4040-B01C-52DCB4612CA3}" destId="{10D8D41C-3A42-433C-BD09-9A5091A5781A}" srcOrd="1" destOrd="0" presId="urn:microsoft.com/office/officeart/2005/8/layout/hList9"/>
    <dgm:cxn modelId="{5EF2B7EB-5EB2-4445-81E9-AD5C4EC1B86C}" type="presParOf" srcId="{10D8D41C-3A42-433C-BD09-9A5091A5781A}" destId="{B0620D57-AD93-49BC-9A43-2A169E43592F}" srcOrd="0" destOrd="0" presId="urn:microsoft.com/office/officeart/2005/8/layout/hList9"/>
    <dgm:cxn modelId="{FFFDDA91-DB8E-45B0-827B-63235408F1E7}" type="presParOf" srcId="{10D8D41C-3A42-433C-BD09-9A5091A5781A}" destId="{A8752821-BD52-4C8E-83EA-4C3F4210DD93}" srcOrd="1" destOrd="0" presId="urn:microsoft.com/office/officeart/2005/8/layout/hList9"/>
    <dgm:cxn modelId="{14F33C68-2687-4410-9FF8-DEDCFF17A145}" type="presParOf" srcId="{364E8096-E2B5-40CA-A0EF-12F36E77964C}" destId="{FC537F22-51A2-4B56-97B8-7E15EFAC065A}" srcOrd="2" destOrd="0" presId="urn:microsoft.com/office/officeart/2005/8/layout/hList9"/>
    <dgm:cxn modelId="{D663699F-6935-4A24-A90C-DB884559CD41}" type="presParOf" srcId="{364E8096-E2B5-40CA-A0EF-12F36E77964C}" destId="{6A1669C2-4A0B-43B2-83C9-C8C1050A2793}" srcOrd="3" destOrd="0" presId="urn:microsoft.com/office/officeart/2005/8/layout/hList9"/>
    <dgm:cxn modelId="{28D5C641-29D1-457C-A9E0-F24D385D4884}" type="presParOf" srcId="{364E8096-E2B5-40CA-A0EF-12F36E77964C}" destId="{42758CC1-50ED-4EE2-A2FC-0D3AE10157A9}" srcOrd="4" destOrd="0" presId="urn:microsoft.com/office/officeart/2005/8/layout/hList9"/>
    <dgm:cxn modelId="{BFD8F3B6-B24F-4A83-9B08-5D74AEE8137C}" type="presParOf" srcId="{364E8096-E2B5-40CA-A0EF-12F36E77964C}" destId="{B8DF4137-5CEC-42A3-A7E2-A2CC719D40CD}" srcOrd="5" destOrd="0" presId="urn:microsoft.com/office/officeart/2005/8/layout/hList9"/>
    <dgm:cxn modelId="{E8816F65-7601-4191-BACA-D18B2B087796}" type="presParOf" srcId="{364E8096-E2B5-40CA-A0EF-12F36E77964C}" destId="{DAFBBEE6-719C-462A-BB81-19BB82A3F7E9}" srcOrd="6" destOrd="0" presId="urn:microsoft.com/office/officeart/2005/8/layout/hList9"/>
    <dgm:cxn modelId="{97305075-FAB2-4DE6-AC98-3E5095275122}" type="presParOf" srcId="{DAFBBEE6-719C-462A-BB81-19BB82A3F7E9}" destId="{27F8F585-77B1-433C-921C-6344320F8ED3}" srcOrd="0" destOrd="0" presId="urn:microsoft.com/office/officeart/2005/8/layout/hList9"/>
    <dgm:cxn modelId="{DB60382D-1DB5-4955-98FE-7910D391AD4E}" type="presParOf" srcId="{DAFBBEE6-719C-462A-BB81-19BB82A3F7E9}" destId="{F41D8C8E-8A51-4036-9E83-59BB10496BBC}" srcOrd="1" destOrd="0" presId="urn:microsoft.com/office/officeart/2005/8/layout/hList9"/>
    <dgm:cxn modelId="{6326B5CD-4C13-4EC6-AC75-8275FA1F3EF5}" type="presParOf" srcId="{F41D8C8E-8A51-4036-9E83-59BB10496BBC}" destId="{FCD530B5-7BFB-452C-BD56-F976180369E9}" srcOrd="0" destOrd="0" presId="urn:microsoft.com/office/officeart/2005/8/layout/hList9"/>
    <dgm:cxn modelId="{FF8DDC2B-DBC9-42F4-BA76-729A5126B36F}" type="presParOf" srcId="{F41D8C8E-8A51-4036-9E83-59BB10496BBC}" destId="{5C0FF4A4-0A14-40B6-B4E1-000F7004565B}" srcOrd="1" destOrd="0" presId="urn:microsoft.com/office/officeart/2005/8/layout/hList9"/>
    <dgm:cxn modelId="{B1953DE1-0A5D-4B0A-B7A9-8DBA43A4E553}" type="presParOf" srcId="{364E8096-E2B5-40CA-A0EF-12F36E77964C}" destId="{3D7FE6B1-54F5-474F-ACF9-F2BF1EAD1878}" srcOrd="7" destOrd="0" presId="urn:microsoft.com/office/officeart/2005/8/layout/hList9"/>
    <dgm:cxn modelId="{06372B8E-2BB8-483B-B92F-6234404B3091}" type="presParOf" srcId="{364E8096-E2B5-40CA-A0EF-12F36E77964C}" destId="{447720BD-F307-4FB9-8136-C6F0DA797394}" srcOrd="8" destOrd="0" presId="urn:microsoft.com/office/officeart/2005/8/layout/hList9"/>
  </dgm:cxnLst>
  <dgm:bg/>
  <dgm:whole/>
  <dgm:extLst>
    <a:ext uri="http://schemas.microsoft.com/office/drawing/2008/diagram">
      <dsp:dataModelExt xmlns:dsp="http://schemas.microsoft.com/office/drawing/2008/diagram" relId="rId24"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FAA95C04-AD90-4745-AB0F-5B01D7C94FA0}" type="doc">
      <dgm:prSet loTypeId="urn:microsoft.com/office/officeart/2008/layout/AlternatingHexagons" loCatId="list" qsTypeId="urn:microsoft.com/office/officeart/2005/8/quickstyle/simple2" qsCatId="simple" csTypeId="urn:microsoft.com/office/officeart/2005/8/colors/accent1_5" csCatId="accent1" phldr="1"/>
      <dgm:spPr/>
      <dgm:t>
        <a:bodyPr/>
        <a:lstStyle/>
        <a:p>
          <a:endParaRPr lang="ca-ES"/>
        </a:p>
      </dgm:t>
    </dgm:pt>
    <dgm:pt modelId="{5CA47510-FE11-4FBC-9B22-5018C35F8014}">
      <dgm:prSet phldrT="[Text]" custT="1"/>
      <dgm:spPr>
        <a:solidFill>
          <a:schemeClr val="accent1">
            <a:hueOff val="0"/>
            <a:satOff val="0"/>
            <a:lumOff val="0"/>
            <a:alpha val="80000"/>
          </a:schemeClr>
        </a:solidFill>
      </dgm:spPr>
      <dgm:t>
        <a:bodyPr/>
        <a:lstStyle/>
        <a:p>
          <a:r>
            <a:rPr lang="cs-CZ" sz="1400"/>
            <a:t>Prahové pravidlo?</a:t>
          </a:r>
        </a:p>
      </dgm:t>
    </dgm:pt>
    <dgm:pt modelId="{05D3BF6B-B274-4DD3-BDFD-2B3206BC4899}" type="parTrans" cxnId="{8F2FAA02-7E88-408A-8967-9D362417DC66}">
      <dgm:prSet/>
      <dgm:spPr/>
      <dgm:t>
        <a:bodyPr/>
        <a:lstStyle/>
        <a:p>
          <a:endParaRPr lang="ca-ES"/>
        </a:p>
      </dgm:t>
    </dgm:pt>
    <dgm:pt modelId="{9C7FBF93-F0C7-4EA7-BD12-88007E3C33A0}" type="sibTrans" cxnId="{8F2FAA02-7E88-408A-8967-9D362417DC66}">
      <dgm:prSet custT="1"/>
      <dgm:spPr>
        <a:solidFill>
          <a:schemeClr val="accent1">
            <a:hueOff val="0"/>
            <a:satOff val="0"/>
            <a:lumOff val="0"/>
          </a:schemeClr>
        </a:solidFill>
      </dgm:spPr>
      <dgm:t>
        <a:bodyPr/>
        <a:lstStyle/>
        <a:p>
          <a:r>
            <a:rPr lang="cs-CZ" sz="1800" b="1"/>
            <a:t>1</a:t>
          </a:r>
        </a:p>
        <a:p>
          <a:r>
            <a:rPr lang="cs-CZ" sz="1400"/>
            <a:t>Lze Listinu použít?</a:t>
          </a:r>
        </a:p>
      </dgm:t>
    </dgm:pt>
    <dgm:pt modelId="{F5FCD86F-5554-44B2-9A9D-5864C7E73850}">
      <dgm:prSet phldrT="[Text]" custT="1"/>
      <dgm:spPr/>
      <dgm:t>
        <a:bodyPr anchor="t" anchorCtr="0"/>
        <a:lstStyle/>
        <a:p>
          <a:pPr>
            <a:spcAft>
              <a:spcPts val="0"/>
            </a:spcAft>
          </a:pPr>
          <a:r>
            <a:rPr lang="cs-CZ" sz="1200"/>
            <a:t>Článek 51</a:t>
          </a:r>
        </a:p>
        <a:p>
          <a:pPr>
            <a:spcAft>
              <a:spcPts val="0"/>
            </a:spcAft>
          </a:pPr>
          <a:r>
            <a:rPr lang="cs-CZ" sz="1200"/>
            <a:t>Listiny</a:t>
          </a:r>
        </a:p>
      </dgm:t>
    </dgm:pt>
    <dgm:pt modelId="{DB1A570C-3B6B-44F6-9CE7-E6D6A2810C24}" type="parTrans" cxnId="{7816D9B5-20C1-4CC0-A290-4A4D50FB4E23}">
      <dgm:prSet/>
      <dgm:spPr/>
      <dgm:t>
        <a:bodyPr/>
        <a:lstStyle/>
        <a:p>
          <a:endParaRPr lang="ca-ES"/>
        </a:p>
      </dgm:t>
    </dgm:pt>
    <dgm:pt modelId="{5BEE6963-DCE3-43FA-9D7D-82D75CF6DFC2}" type="sibTrans" cxnId="{7816D9B5-20C1-4CC0-A290-4A4D50FB4E23}">
      <dgm:prSet/>
      <dgm:spPr/>
      <dgm:t>
        <a:bodyPr/>
        <a:lstStyle/>
        <a:p>
          <a:endParaRPr lang="ca-ES"/>
        </a:p>
      </dgm:t>
    </dgm:pt>
    <dgm:pt modelId="{9F288F9D-CA8C-4F39-9016-CB4ABFCBC804}">
      <dgm:prSet phldrT="[Text]" custT="1"/>
      <dgm:spPr>
        <a:solidFill>
          <a:schemeClr val="accent1">
            <a:hueOff val="0"/>
            <a:satOff val="0"/>
            <a:lumOff val="0"/>
          </a:schemeClr>
        </a:solidFill>
      </dgm:spPr>
      <dgm:t>
        <a:bodyPr/>
        <a:lstStyle/>
        <a:p>
          <a:r>
            <a:rPr lang="cs-CZ" sz="1800" b="1"/>
            <a:t>2</a:t>
          </a:r>
        </a:p>
        <a:p>
          <a:r>
            <a:rPr lang="cs-CZ" sz="1600"/>
            <a:t>Porušená práva?</a:t>
          </a:r>
        </a:p>
      </dgm:t>
    </dgm:pt>
    <dgm:pt modelId="{4867EC7E-9D70-47C1-AE03-7BF052F568F8}" type="parTrans" cxnId="{20040554-818A-451A-9141-89DC01282D23}">
      <dgm:prSet/>
      <dgm:spPr/>
      <dgm:t>
        <a:bodyPr/>
        <a:lstStyle/>
        <a:p>
          <a:endParaRPr lang="ca-ES"/>
        </a:p>
      </dgm:t>
    </dgm:pt>
    <dgm:pt modelId="{9DE8E342-10E6-4988-B06D-C74F693100F4}" type="sibTrans" cxnId="{20040554-818A-451A-9141-89DC01282D23}">
      <dgm:prSet custT="1"/>
      <dgm:spPr>
        <a:solidFill>
          <a:schemeClr val="accent1">
            <a:hueOff val="0"/>
            <a:satOff val="0"/>
            <a:lumOff val="0"/>
            <a:alpha val="80000"/>
          </a:schemeClr>
        </a:solidFill>
      </dgm:spPr>
      <dgm:t>
        <a:bodyPr/>
        <a:lstStyle/>
        <a:p>
          <a:r>
            <a:rPr lang="cs-CZ" sz="1400"/>
            <a:t>Který článek Listiny? </a:t>
          </a:r>
        </a:p>
      </dgm:t>
    </dgm:pt>
    <dgm:pt modelId="{2B9D62F0-8C48-4405-8B10-F32185FAAAE3}">
      <dgm:prSet phldrT="[Text]" custT="1"/>
      <dgm:spPr/>
      <dgm:t>
        <a:bodyPr/>
        <a:lstStyle/>
        <a:p>
          <a:r>
            <a:rPr lang="cs-CZ" sz="1200"/>
            <a:t>Článek 53 Listiny</a:t>
          </a:r>
        </a:p>
      </dgm:t>
    </dgm:pt>
    <dgm:pt modelId="{525E7CC7-EBAD-48D4-A1AF-CA1B91528932}" type="parTrans" cxnId="{56F7A231-B88E-43BC-8156-6120D2C2043B}">
      <dgm:prSet/>
      <dgm:spPr/>
      <dgm:t>
        <a:bodyPr/>
        <a:lstStyle/>
        <a:p>
          <a:endParaRPr lang="ca-ES"/>
        </a:p>
      </dgm:t>
    </dgm:pt>
    <dgm:pt modelId="{CF2839C6-44F9-48D2-95E5-317C7CA9BD4E}" type="sibTrans" cxnId="{56F7A231-B88E-43BC-8156-6120D2C2043B}">
      <dgm:prSet/>
      <dgm:spPr/>
      <dgm:t>
        <a:bodyPr/>
        <a:lstStyle/>
        <a:p>
          <a:endParaRPr lang="ca-ES"/>
        </a:p>
      </dgm:t>
    </dgm:pt>
    <dgm:pt modelId="{70CB3056-A40F-448C-8BC2-65FF3573CCFF}">
      <dgm:prSet phldrT="[Text]" custT="1"/>
      <dgm:spPr>
        <a:solidFill>
          <a:schemeClr val="accent1">
            <a:alpha val="50000"/>
          </a:schemeClr>
        </a:solidFill>
      </dgm:spPr>
      <dgm:t>
        <a:bodyPr/>
        <a:lstStyle/>
        <a:p>
          <a:r>
            <a:rPr lang="cs-CZ" sz="1400"/>
            <a:t>Judikatura SDEU</a:t>
          </a:r>
        </a:p>
        <a:p>
          <a:endParaRPr/>
        </a:p>
      </dgm:t>
    </dgm:pt>
    <dgm:pt modelId="{47CED777-1FF4-4498-8EBC-923BB1B85F38}" type="parTrans" cxnId="{017138E2-4D92-45E2-9A94-3E28166EB4FC}">
      <dgm:prSet/>
      <dgm:spPr/>
      <dgm:t>
        <a:bodyPr/>
        <a:lstStyle/>
        <a:p>
          <a:endParaRPr lang="ca-ES"/>
        </a:p>
      </dgm:t>
    </dgm:pt>
    <dgm:pt modelId="{2B18E4C7-8F44-4851-9F93-30C5D6A68B77}" type="sibTrans" cxnId="{017138E2-4D92-45E2-9A94-3E28166EB4FC}">
      <dgm:prSet custT="1"/>
      <dgm:spPr>
        <a:solidFill>
          <a:schemeClr val="accent1">
            <a:alpha val="50000"/>
          </a:schemeClr>
        </a:solidFill>
      </dgm:spPr>
      <dgm:t>
        <a:bodyPr/>
        <a:lstStyle/>
        <a:p>
          <a:r>
            <a:rPr lang="cs-CZ" sz="1400"/>
            <a:t>Judikatura SDEU </a:t>
          </a:r>
        </a:p>
        <a:p>
          <a:endParaRPr/>
        </a:p>
      </dgm:t>
    </dgm:pt>
    <dgm:pt modelId="{A6EAAB39-FEB7-40A2-916D-3FD17F852897}" type="pres">
      <dgm:prSet presAssocID="{FAA95C04-AD90-4745-AB0F-5B01D7C94FA0}" presName="Name0" presStyleCnt="0">
        <dgm:presLayoutVars>
          <dgm:chMax/>
          <dgm:chPref/>
          <dgm:dir/>
          <dgm:animLvl val="lvl"/>
        </dgm:presLayoutVars>
      </dgm:prSet>
      <dgm:spPr/>
    </dgm:pt>
    <dgm:pt modelId="{6313EDB8-C191-4B82-9DD0-08C7863C4AD9}" type="pres">
      <dgm:prSet presAssocID="{5CA47510-FE11-4FBC-9B22-5018C35F8014}" presName="composite" presStyleCnt="0"/>
      <dgm:spPr/>
    </dgm:pt>
    <dgm:pt modelId="{C10263E5-A21A-4DAF-98EE-CA1E2A4DD5D1}" type="pres">
      <dgm:prSet presAssocID="{5CA47510-FE11-4FBC-9B22-5018C35F8014}" presName="Parent1" presStyleLbl="node1" presStyleIdx="0" presStyleCnt="6" custLinFactNeighborX="-71895" custLinFactNeighborY="32684">
        <dgm:presLayoutVars>
          <dgm:chMax val="1"/>
          <dgm:chPref val="1"/>
          <dgm:bulletEnabled val="1"/>
        </dgm:presLayoutVars>
      </dgm:prSet>
      <dgm:spPr/>
    </dgm:pt>
    <dgm:pt modelId="{C2F4B1F9-1570-4B92-AF07-8066FA05BA2E}" type="pres">
      <dgm:prSet presAssocID="{5CA47510-FE11-4FBC-9B22-5018C35F8014}" presName="Childtext1" presStyleLbl="revTx" presStyleIdx="0" presStyleCnt="3" custLinFactNeighborX="-80286" custLinFactNeighborY="-3359">
        <dgm:presLayoutVars>
          <dgm:chMax val="0"/>
          <dgm:chPref val="0"/>
          <dgm:bulletEnabled val="1"/>
        </dgm:presLayoutVars>
      </dgm:prSet>
      <dgm:spPr/>
    </dgm:pt>
    <dgm:pt modelId="{9C54344D-F4B6-4E40-A8E2-CC0F4898DF17}" type="pres">
      <dgm:prSet presAssocID="{5CA47510-FE11-4FBC-9B22-5018C35F8014}" presName="BalanceSpacing" presStyleCnt="0"/>
      <dgm:spPr/>
    </dgm:pt>
    <dgm:pt modelId="{DC336F16-4411-491A-92C2-264F31C7644C}" type="pres">
      <dgm:prSet presAssocID="{5CA47510-FE11-4FBC-9B22-5018C35F8014}" presName="BalanceSpacing1" presStyleCnt="0"/>
      <dgm:spPr/>
    </dgm:pt>
    <dgm:pt modelId="{25BCEC4B-9856-4899-AF69-1BFEF1938F17}" type="pres">
      <dgm:prSet presAssocID="{9C7FBF93-F0C7-4EA7-BD12-88007E3C33A0}" presName="Accent1Text" presStyleLbl="node1" presStyleIdx="1" presStyleCnt="6" custLinFactNeighborX="-67795" custLinFactNeighborY="32714"/>
      <dgm:spPr/>
    </dgm:pt>
    <dgm:pt modelId="{8D728AA6-FAD2-4C46-9849-F05B75A7FBC8}" type="pres">
      <dgm:prSet presAssocID="{9C7FBF93-F0C7-4EA7-BD12-88007E3C33A0}" presName="spaceBetweenRectangles" presStyleCnt="0"/>
      <dgm:spPr/>
    </dgm:pt>
    <dgm:pt modelId="{A2C46BC2-E61A-46D0-B9F8-D4EA2C4DEACF}" type="pres">
      <dgm:prSet presAssocID="{9F288F9D-CA8C-4F39-9016-CB4ABFCBC804}" presName="composite" presStyleCnt="0"/>
      <dgm:spPr/>
    </dgm:pt>
    <dgm:pt modelId="{3612A6CE-A210-4F99-8296-3FCB0A2F5BEA}" type="pres">
      <dgm:prSet presAssocID="{9F288F9D-CA8C-4F39-9016-CB4ABFCBC804}" presName="Parent1" presStyleLbl="node1" presStyleIdx="2" presStyleCnt="6" custLinFactNeighborX="-68349" custLinFactNeighborY="29253">
        <dgm:presLayoutVars>
          <dgm:chMax val="1"/>
          <dgm:chPref val="1"/>
          <dgm:bulletEnabled val="1"/>
        </dgm:presLayoutVars>
      </dgm:prSet>
      <dgm:spPr/>
    </dgm:pt>
    <dgm:pt modelId="{45E2FD29-40A5-4B4D-93F2-1C11ADDA9326}" type="pres">
      <dgm:prSet presAssocID="{9F288F9D-CA8C-4F39-9016-CB4ABFCBC804}" presName="Childtext1" presStyleLbl="revTx" presStyleIdx="1" presStyleCnt="3" custScaleX="32201" custScaleY="78280" custLinFactX="86201" custLinFactNeighborX="100000" custLinFactNeighborY="44115">
        <dgm:presLayoutVars>
          <dgm:chMax val="0"/>
          <dgm:chPref val="0"/>
          <dgm:bulletEnabled val="1"/>
        </dgm:presLayoutVars>
      </dgm:prSet>
      <dgm:spPr/>
    </dgm:pt>
    <dgm:pt modelId="{56DC55B9-7F6C-4DA1-84C9-EC318DB19DD5}" type="pres">
      <dgm:prSet presAssocID="{9F288F9D-CA8C-4F39-9016-CB4ABFCBC804}" presName="BalanceSpacing" presStyleCnt="0"/>
      <dgm:spPr/>
    </dgm:pt>
    <dgm:pt modelId="{25613F73-235F-4613-8147-D13AB3A460D8}" type="pres">
      <dgm:prSet presAssocID="{9F288F9D-CA8C-4F39-9016-CB4ABFCBC804}" presName="BalanceSpacing1" presStyleCnt="0"/>
      <dgm:spPr/>
    </dgm:pt>
    <dgm:pt modelId="{BE7A8F61-ECD5-4972-B677-B04CC67B3005}" type="pres">
      <dgm:prSet presAssocID="{9DE8E342-10E6-4988-B06D-C74F693100F4}" presName="Accent1Text" presStyleLbl="node1" presStyleIdx="3" presStyleCnt="6" custLinFactNeighborX="-71894" custLinFactNeighborY="28166"/>
      <dgm:spPr/>
    </dgm:pt>
    <dgm:pt modelId="{5EA34B94-59B4-4031-A236-6260BFAF6D63}" type="pres">
      <dgm:prSet presAssocID="{9DE8E342-10E6-4988-B06D-C74F693100F4}" presName="spaceBetweenRectangles" presStyleCnt="0"/>
      <dgm:spPr/>
    </dgm:pt>
    <dgm:pt modelId="{8080DD48-E56F-4273-A5B9-520FADCB87CB}" type="pres">
      <dgm:prSet presAssocID="{70CB3056-A40F-448C-8BC2-65FF3573CCFF}" presName="composite" presStyleCnt="0"/>
      <dgm:spPr/>
    </dgm:pt>
    <dgm:pt modelId="{655CD407-E435-41DC-8905-A9A37EEE6CEB}" type="pres">
      <dgm:prSet presAssocID="{70CB3056-A40F-448C-8BC2-65FF3573CCFF}" presName="Parent1" presStyleLbl="node1" presStyleIdx="4" presStyleCnt="6" custLinFactNeighborX="84568" custLinFactNeighborY="3549">
        <dgm:presLayoutVars>
          <dgm:chMax val="1"/>
          <dgm:chPref val="1"/>
          <dgm:bulletEnabled val="1"/>
        </dgm:presLayoutVars>
      </dgm:prSet>
      <dgm:spPr/>
    </dgm:pt>
    <dgm:pt modelId="{44766856-5157-4F1F-BE41-87873A449640}" type="pres">
      <dgm:prSet presAssocID="{70CB3056-A40F-448C-8BC2-65FF3573CCFF}" presName="Childtext1" presStyleLbl="revTx" presStyleIdx="2" presStyleCnt="3">
        <dgm:presLayoutVars>
          <dgm:chMax val="0"/>
          <dgm:chPref val="0"/>
          <dgm:bulletEnabled val="1"/>
        </dgm:presLayoutVars>
      </dgm:prSet>
      <dgm:spPr/>
    </dgm:pt>
    <dgm:pt modelId="{32FA1C70-7425-400E-8786-D2737D362EFF}" type="pres">
      <dgm:prSet presAssocID="{70CB3056-A40F-448C-8BC2-65FF3573CCFF}" presName="BalanceSpacing" presStyleCnt="0"/>
      <dgm:spPr/>
    </dgm:pt>
    <dgm:pt modelId="{FA21AD14-D551-4F24-80F3-7CB518794207}" type="pres">
      <dgm:prSet presAssocID="{70CB3056-A40F-448C-8BC2-65FF3573CCFF}" presName="BalanceSpacing1" presStyleCnt="0"/>
      <dgm:spPr/>
    </dgm:pt>
    <dgm:pt modelId="{AF2B83B1-C12D-4338-B278-E21189A724B1}" type="pres">
      <dgm:prSet presAssocID="{2B18E4C7-8F44-4851-9F93-30C5D6A68B77}" presName="Accent1Text" presStyleLbl="node1" presStyleIdx="5" presStyleCnt="6" custLinFactX="40696" custLinFactY="-37227" custLinFactNeighborX="100000" custLinFactNeighborY="-100000"/>
      <dgm:spPr/>
    </dgm:pt>
  </dgm:ptLst>
  <dgm:cxnLst>
    <dgm:cxn modelId="{8F2FAA02-7E88-408A-8967-9D362417DC66}" srcId="{FAA95C04-AD90-4745-AB0F-5B01D7C94FA0}" destId="{5CA47510-FE11-4FBC-9B22-5018C35F8014}" srcOrd="0" destOrd="0" parTransId="{05D3BF6B-B274-4DD3-BDFD-2B3206BC4899}" sibTransId="{9C7FBF93-F0C7-4EA7-BD12-88007E3C33A0}"/>
    <dgm:cxn modelId="{22F38C08-ADCE-4599-8F69-5F88E2CF86A3}" type="presOf" srcId="{2B18E4C7-8F44-4851-9F93-30C5D6A68B77}" destId="{AF2B83B1-C12D-4338-B278-E21189A724B1}" srcOrd="0" destOrd="0" presId="urn:microsoft.com/office/officeart/2008/layout/AlternatingHexagons"/>
    <dgm:cxn modelId="{B3F0EE0B-11BC-49F7-8CD3-173842091FE6}" type="presOf" srcId="{2B9D62F0-8C48-4405-8B10-F32185FAAAE3}" destId="{45E2FD29-40A5-4B4D-93F2-1C11ADDA9326}" srcOrd="0" destOrd="0" presId="urn:microsoft.com/office/officeart/2008/layout/AlternatingHexagons"/>
    <dgm:cxn modelId="{E3B1FA13-7BF8-43EF-A3EA-D5B0812B420E}" type="presOf" srcId="{9C7FBF93-F0C7-4EA7-BD12-88007E3C33A0}" destId="{25BCEC4B-9856-4899-AF69-1BFEF1938F17}" srcOrd="0" destOrd="0" presId="urn:microsoft.com/office/officeart/2008/layout/AlternatingHexagons"/>
    <dgm:cxn modelId="{F40F662E-2F9E-422E-8B91-6DE5147E49ED}" type="presOf" srcId="{70CB3056-A40F-448C-8BC2-65FF3573CCFF}" destId="{655CD407-E435-41DC-8905-A9A37EEE6CEB}" srcOrd="0" destOrd="0" presId="urn:microsoft.com/office/officeart/2008/layout/AlternatingHexagons"/>
    <dgm:cxn modelId="{56F7A231-B88E-43BC-8156-6120D2C2043B}" srcId="{9F288F9D-CA8C-4F39-9016-CB4ABFCBC804}" destId="{2B9D62F0-8C48-4405-8B10-F32185FAAAE3}" srcOrd="0" destOrd="0" parTransId="{525E7CC7-EBAD-48D4-A1AF-CA1B91528932}" sibTransId="{CF2839C6-44F9-48D2-95E5-317C7CA9BD4E}"/>
    <dgm:cxn modelId="{63D6A233-FA38-45B9-B014-309278863CA9}" type="presOf" srcId="{9F288F9D-CA8C-4F39-9016-CB4ABFCBC804}" destId="{3612A6CE-A210-4F99-8296-3FCB0A2F5BEA}" srcOrd="0" destOrd="0" presId="urn:microsoft.com/office/officeart/2008/layout/AlternatingHexagons"/>
    <dgm:cxn modelId="{20040554-818A-451A-9141-89DC01282D23}" srcId="{FAA95C04-AD90-4745-AB0F-5B01D7C94FA0}" destId="{9F288F9D-CA8C-4F39-9016-CB4ABFCBC804}" srcOrd="1" destOrd="0" parTransId="{4867EC7E-9D70-47C1-AE03-7BF052F568F8}" sibTransId="{9DE8E342-10E6-4988-B06D-C74F693100F4}"/>
    <dgm:cxn modelId="{88FF7380-9A11-49CF-9F41-0DE485332AFD}" type="presOf" srcId="{9DE8E342-10E6-4988-B06D-C74F693100F4}" destId="{BE7A8F61-ECD5-4972-B677-B04CC67B3005}" srcOrd="0" destOrd="0" presId="urn:microsoft.com/office/officeart/2008/layout/AlternatingHexagons"/>
    <dgm:cxn modelId="{A1FA998E-7912-4FC1-A834-28E7AD2A6C13}" type="presOf" srcId="{F5FCD86F-5554-44B2-9A9D-5864C7E73850}" destId="{C2F4B1F9-1570-4B92-AF07-8066FA05BA2E}" srcOrd="0" destOrd="0" presId="urn:microsoft.com/office/officeart/2008/layout/AlternatingHexagons"/>
    <dgm:cxn modelId="{7816D9B5-20C1-4CC0-A290-4A4D50FB4E23}" srcId="{5CA47510-FE11-4FBC-9B22-5018C35F8014}" destId="{F5FCD86F-5554-44B2-9A9D-5864C7E73850}" srcOrd="0" destOrd="0" parTransId="{DB1A570C-3B6B-44F6-9CE7-E6D6A2810C24}" sibTransId="{5BEE6963-DCE3-43FA-9D7D-82D75CF6DFC2}"/>
    <dgm:cxn modelId="{980C10C2-3E4E-4A45-A057-5E8A048BE7C1}" type="presOf" srcId="{5CA47510-FE11-4FBC-9B22-5018C35F8014}" destId="{C10263E5-A21A-4DAF-98EE-CA1E2A4DD5D1}" srcOrd="0" destOrd="0" presId="urn:microsoft.com/office/officeart/2008/layout/AlternatingHexagons"/>
    <dgm:cxn modelId="{017138E2-4D92-45E2-9A94-3E28166EB4FC}" srcId="{FAA95C04-AD90-4745-AB0F-5B01D7C94FA0}" destId="{70CB3056-A40F-448C-8BC2-65FF3573CCFF}" srcOrd="2" destOrd="0" parTransId="{47CED777-1FF4-4498-8EBC-923BB1B85F38}" sibTransId="{2B18E4C7-8F44-4851-9F93-30C5D6A68B77}"/>
    <dgm:cxn modelId="{D6CD46EE-F36C-4952-B84B-26B57178F635}" type="presOf" srcId="{FAA95C04-AD90-4745-AB0F-5B01D7C94FA0}" destId="{A6EAAB39-FEB7-40A2-916D-3FD17F852897}" srcOrd="0" destOrd="0" presId="urn:microsoft.com/office/officeart/2008/layout/AlternatingHexagons"/>
    <dgm:cxn modelId="{643BD669-9925-4B14-9613-9EF23E70FA34}" type="presParOf" srcId="{A6EAAB39-FEB7-40A2-916D-3FD17F852897}" destId="{6313EDB8-C191-4B82-9DD0-08C7863C4AD9}" srcOrd="0" destOrd="0" presId="urn:microsoft.com/office/officeart/2008/layout/AlternatingHexagons"/>
    <dgm:cxn modelId="{0EABAF0B-4773-4F1C-A4BE-1062B757571C}" type="presParOf" srcId="{6313EDB8-C191-4B82-9DD0-08C7863C4AD9}" destId="{C10263E5-A21A-4DAF-98EE-CA1E2A4DD5D1}" srcOrd="0" destOrd="0" presId="urn:microsoft.com/office/officeart/2008/layout/AlternatingHexagons"/>
    <dgm:cxn modelId="{5A8E6459-0E9E-464A-B26F-C631A8880DF8}" type="presParOf" srcId="{6313EDB8-C191-4B82-9DD0-08C7863C4AD9}" destId="{C2F4B1F9-1570-4B92-AF07-8066FA05BA2E}" srcOrd="1" destOrd="0" presId="urn:microsoft.com/office/officeart/2008/layout/AlternatingHexagons"/>
    <dgm:cxn modelId="{42F4E4DB-7563-43CE-891A-4F4E1D857CFD}" type="presParOf" srcId="{6313EDB8-C191-4B82-9DD0-08C7863C4AD9}" destId="{9C54344D-F4B6-4E40-A8E2-CC0F4898DF17}" srcOrd="2" destOrd="0" presId="urn:microsoft.com/office/officeart/2008/layout/AlternatingHexagons"/>
    <dgm:cxn modelId="{CC7F2052-2FD4-4206-93B9-53A6EBA0ED26}" type="presParOf" srcId="{6313EDB8-C191-4B82-9DD0-08C7863C4AD9}" destId="{DC336F16-4411-491A-92C2-264F31C7644C}" srcOrd="3" destOrd="0" presId="urn:microsoft.com/office/officeart/2008/layout/AlternatingHexagons"/>
    <dgm:cxn modelId="{7F5DB312-06E2-424A-BCBC-7619A92A96EA}" type="presParOf" srcId="{6313EDB8-C191-4B82-9DD0-08C7863C4AD9}" destId="{25BCEC4B-9856-4899-AF69-1BFEF1938F17}" srcOrd="4" destOrd="0" presId="urn:microsoft.com/office/officeart/2008/layout/AlternatingHexagons"/>
    <dgm:cxn modelId="{498ADFB4-FEFB-4E67-BEC7-C3DEEF83EC08}" type="presParOf" srcId="{A6EAAB39-FEB7-40A2-916D-3FD17F852897}" destId="{8D728AA6-FAD2-4C46-9849-F05B75A7FBC8}" srcOrd="1" destOrd="0" presId="urn:microsoft.com/office/officeart/2008/layout/AlternatingHexagons"/>
    <dgm:cxn modelId="{AE323AFE-33C6-4DD3-97B9-CC7BCC4FB646}" type="presParOf" srcId="{A6EAAB39-FEB7-40A2-916D-3FD17F852897}" destId="{A2C46BC2-E61A-46D0-B9F8-D4EA2C4DEACF}" srcOrd="2" destOrd="0" presId="urn:microsoft.com/office/officeart/2008/layout/AlternatingHexagons"/>
    <dgm:cxn modelId="{D978A18E-A6B1-49A5-B558-2FF36A83539E}" type="presParOf" srcId="{A2C46BC2-E61A-46D0-B9F8-D4EA2C4DEACF}" destId="{3612A6CE-A210-4F99-8296-3FCB0A2F5BEA}" srcOrd="0" destOrd="0" presId="urn:microsoft.com/office/officeart/2008/layout/AlternatingHexagons"/>
    <dgm:cxn modelId="{3A54EB82-87C1-4F66-8F17-2F93D197F525}" type="presParOf" srcId="{A2C46BC2-E61A-46D0-B9F8-D4EA2C4DEACF}" destId="{45E2FD29-40A5-4B4D-93F2-1C11ADDA9326}" srcOrd="1" destOrd="0" presId="urn:microsoft.com/office/officeart/2008/layout/AlternatingHexagons"/>
    <dgm:cxn modelId="{9DCFD7F3-7CCB-471D-A209-610FE6B8177E}" type="presParOf" srcId="{A2C46BC2-E61A-46D0-B9F8-D4EA2C4DEACF}" destId="{56DC55B9-7F6C-4DA1-84C9-EC318DB19DD5}" srcOrd="2" destOrd="0" presId="urn:microsoft.com/office/officeart/2008/layout/AlternatingHexagons"/>
    <dgm:cxn modelId="{88070329-94E5-4325-8206-7021A5007531}" type="presParOf" srcId="{A2C46BC2-E61A-46D0-B9F8-D4EA2C4DEACF}" destId="{25613F73-235F-4613-8147-D13AB3A460D8}" srcOrd="3" destOrd="0" presId="urn:microsoft.com/office/officeart/2008/layout/AlternatingHexagons"/>
    <dgm:cxn modelId="{5C3CC72B-4564-4C80-819D-AE138AE89C0D}" type="presParOf" srcId="{A2C46BC2-E61A-46D0-B9F8-D4EA2C4DEACF}" destId="{BE7A8F61-ECD5-4972-B677-B04CC67B3005}" srcOrd="4" destOrd="0" presId="urn:microsoft.com/office/officeart/2008/layout/AlternatingHexagons"/>
    <dgm:cxn modelId="{4AF01393-D4E3-48D4-B2DA-1D5E6B2A9741}" type="presParOf" srcId="{A6EAAB39-FEB7-40A2-916D-3FD17F852897}" destId="{5EA34B94-59B4-4031-A236-6260BFAF6D63}" srcOrd="3" destOrd="0" presId="urn:microsoft.com/office/officeart/2008/layout/AlternatingHexagons"/>
    <dgm:cxn modelId="{AB0CCA9E-E244-413B-839F-32C0DA247E37}" type="presParOf" srcId="{A6EAAB39-FEB7-40A2-916D-3FD17F852897}" destId="{8080DD48-E56F-4273-A5B9-520FADCB87CB}" srcOrd="4" destOrd="0" presId="urn:microsoft.com/office/officeart/2008/layout/AlternatingHexagons"/>
    <dgm:cxn modelId="{696626DE-E1C7-4A05-B0EB-BFFF0EB725CC}" type="presParOf" srcId="{8080DD48-E56F-4273-A5B9-520FADCB87CB}" destId="{655CD407-E435-41DC-8905-A9A37EEE6CEB}" srcOrd="0" destOrd="0" presId="urn:microsoft.com/office/officeart/2008/layout/AlternatingHexagons"/>
    <dgm:cxn modelId="{8FB17BF4-718D-438A-8759-1C78411B6B04}" type="presParOf" srcId="{8080DD48-E56F-4273-A5B9-520FADCB87CB}" destId="{44766856-5157-4F1F-BE41-87873A449640}" srcOrd="1" destOrd="0" presId="urn:microsoft.com/office/officeart/2008/layout/AlternatingHexagons"/>
    <dgm:cxn modelId="{B3499694-4482-4748-BEA0-86C5B43278D1}" type="presParOf" srcId="{8080DD48-E56F-4273-A5B9-520FADCB87CB}" destId="{32FA1C70-7425-400E-8786-D2737D362EFF}" srcOrd="2" destOrd="0" presId="urn:microsoft.com/office/officeart/2008/layout/AlternatingHexagons"/>
    <dgm:cxn modelId="{59BEC209-775D-4C31-AA69-C58D2B7F8A17}" type="presParOf" srcId="{8080DD48-E56F-4273-A5B9-520FADCB87CB}" destId="{FA21AD14-D551-4F24-80F3-7CB518794207}" srcOrd="3" destOrd="0" presId="urn:microsoft.com/office/officeart/2008/layout/AlternatingHexagons"/>
    <dgm:cxn modelId="{3CC7775E-8E48-4586-BDB8-93968E1E7BF9}" type="presParOf" srcId="{8080DD48-E56F-4273-A5B9-520FADCB87CB}" destId="{AF2B83B1-C12D-4338-B278-E21189A724B1}" srcOrd="4" destOrd="0" presId="urn:microsoft.com/office/officeart/2008/layout/AlternatingHexagons"/>
  </dgm:cxnLst>
  <dgm:bg/>
  <dgm:whole/>
  <dgm:extLst>
    <a:ext uri="http://schemas.microsoft.com/office/drawing/2008/diagram">
      <dsp:dataModelExt xmlns:dsp="http://schemas.microsoft.com/office/drawing/2008/diagram" relId="rId34"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0620D57-AD93-49BC-9A43-2A169E43592F}">
      <dsp:nvSpPr>
        <dsp:cNvPr id="0" name=""/>
        <dsp:cNvSpPr/>
      </dsp:nvSpPr>
      <dsp:spPr>
        <a:xfrm>
          <a:off x="900709" y="548887"/>
          <a:ext cx="1686853" cy="1645043"/>
        </a:xfrm>
        <a:prstGeom prst="rect">
          <a:avLst/>
        </a:prstGeom>
        <a:solidFill>
          <a:schemeClr val="accent5">
            <a:alpha val="90000"/>
            <a:tint val="40000"/>
            <a:hueOff val="0"/>
            <a:satOff val="0"/>
            <a:lumOff val="0"/>
            <a:alphaOff val="0"/>
          </a:schemeClr>
        </a:solidFill>
        <a:ln w="12700" cap="flat" cmpd="sng" algn="ctr">
          <a:solidFill>
            <a:schemeClr val="accent5">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0" tIns="71120" rIns="71120" bIns="71120" numCol="1" spcCol="1270" anchor="ctr" anchorCtr="0">
          <a:noAutofit/>
        </a:bodyPr>
        <a:lstStyle/>
        <a:p>
          <a:pPr marL="0" lvl="0" indent="0" algn="l" defTabSz="444500">
            <a:lnSpc>
              <a:spcPct val="90000"/>
            </a:lnSpc>
            <a:spcBef>
              <a:spcPct val="0"/>
            </a:spcBef>
            <a:spcAft>
              <a:spcPct val="35000"/>
            </a:spcAft>
            <a:buNone/>
          </a:pPr>
          <a:r>
            <a:rPr lang="cs-CZ" sz="1000" kern="1200"/>
            <a:t>Právo na život (článek 2)</a:t>
          </a:r>
        </a:p>
        <a:p>
          <a:pPr marL="0" lvl="0" indent="0" algn="l" defTabSz="444500">
            <a:lnSpc>
              <a:spcPct val="90000"/>
            </a:lnSpc>
            <a:spcBef>
              <a:spcPct val="0"/>
            </a:spcBef>
            <a:spcAft>
              <a:spcPct val="35000"/>
            </a:spcAft>
            <a:buNone/>
          </a:pPr>
          <a:r>
            <a:rPr lang="cs-CZ" sz="1000" kern="1200"/>
            <a:t>Právo na svobodu a bezpečnost (článek 6)</a:t>
          </a:r>
        </a:p>
        <a:p>
          <a:pPr marL="0" lvl="0" indent="0" algn="l" defTabSz="444500">
            <a:lnSpc>
              <a:spcPct val="90000"/>
            </a:lnSpc>
            <a:spcBef>
              <a:spcPct val="0"/>
            </a:spcBef>
            <a:spcAft>
              <a:spcPct val="35000"/>
            </a:spcAft>
            <a:buNone/>
          </a:pPr>
          <a:r>
            <a:rPr lang="cs-CZ" sz="1000" kern="1200"/>
            <a:t>Právo na respektování soukromého a rodinného života (článek 8)</a:t>
          </a:r>
        </a:p>
        <a:p>
          <a:pPr marL="0" lvl="0" indent="0" algn="l" defTabSz="444500">
            <a:lnSpc>
              <a:spcPct val="90000"/>
            </a:lnSpc>
            <a:spcBef>
              <a:spcPct val="0"/>
            </a:spcBef>
            <a:spcAft>
              <a:spcPct val="35000"/>
            </a:spcAft>
            <a:buNone/>
          </a:pPr>
          <a:r>
            <a:rPr lang="cs-CZ" sz="1000" kern="1200"/>
            <a:t>Zákaz mučení (článek 4)</a:t>
          </a:r>
        </a:p>
        <a:p>
          <a:pPr marL="0" lvl="0" indent="0" algn="l" defTabSz="444500">
            <a:lnSpc>
              <a:spcPct val="90000"/>
            </a:lnSpc>
            <a:spcBef>
              <a:spcPct val="0"/>
            </a:spcBef>
            <a:spcAft>
              <a:spcPct val="35000"/>
            </a:spcAft>
            <a:buNone/>
          </a:pPr>
          <a:r>
            <a:rPr lang="cs-CZ" sz="700" kern="1200"/>
            <a:t>...</a:t>
          </a:r>
        </a:p>
      </dsp:txBody>
      <dsp:txXfrm>
        <a:off x="1170606" y="548887"/>
        <a:ext cx="1416956" cy="1645043"/>
      </dsp:txXfrm>
    </dsp:sp>
    <dsp:sp modelId="{6A1669C2-4A0B-43B2-83C9-C8C1050A2793}">
      <dsp:nvSpPr>
        <dsp:cNvPr id="0" name=""/>
        <dsp:cNvSpPr/>
      </dsp:nvSpPr>
      <dsp:spPr>
        <a:xfrm>
          <a:off x="1054" y="99060"/>
          <a:ext cx="1124568" cy="1124568"/>
        </a:xfrm>
        <a:prstGeom prst="ellipse">
          <a:avLst/>
        </a:prstGeom>
        <a:solidFill>
          <a:schemeClr val="accent5">
            <a:hueOff val="0"/>
            <a:satOff val="0"/>
            <a:lumOff val="0"/>
            <a:alphaOff val="0"/>
          </a:schemeClr>
        </a:solidFill>
        <a:ln w="19050" cap="flat" cmpd="sng" algn="ctr">
          <a:solidFill>
            <a:schemeClr val="lt1">
              <a:hueOff val="0"/>
              <a:satOff val="0"/>
              <a:lumOff val="0"/>
              <a:alphaOff val="0"/>
            </a:schemeClr>
          </a:solidFill>
          <a:prstDash val="solid"/>
          <a:miter lim="800000"/>
        </a:ln>
        <a:effectLst/>
      </dsp:spPr>
      <dsp:style>
        <a:lnRef idx="3">
          <a:scrgbClr r="0" g="0" b="0"/>
        </a:lnRef>
        <a:fillRef idx="1">
          <a:scrgbClr r="0" g="0" b="0"/>
        </a:fillRef>
        <a:effectRef idx="1">
          <a:scrgbClr r="0" g="0" b="0"/>
        </a:effectRef>
        <a:fontRef idx="minor">
          <a:schemeClr val="lt1"/>
        </a:fontRef>
      </dsp:style>
      <dsp:txBody>
        <a:bodyPr spcFirstLastPara="0" vert="horz" wrap="square" lIns="0" tIns="0" rIns="0" bIns="0" numCol="1" spcCol="1270" anchor="ctr" anchorCtr="0">
          <a:noAutofit/>
        </a:bodyPr>
        <a:lstStyle/>
        <a:p>
          <a:pPr marL="0" lvl="0" indent="0" algn="ctr" defTabSz="977900">
            <a:lnSpc>
              <a:spcPct val="90000"/>
            </a:lnSpc>
            <a:spcBef>
              <a:spcPct val="0"/>
            </a:spcBef>
            <a:spcAft>
              <a:spcPct val="35000"/>
            </a:spcAft>
            <a:buNone/>
          </a:pPr>
          <a:r>
            <a:rPr lang="cs-CZ" sz="2200" kern="1200"/>
            <a:t>Práva</a:t>
          </a:r>
        </a:p>
      </dsp:txBody>
      <dsp:txXfrm>
        <a:off x="165743" y="263749"/>
        <a:ext cx="795190" cy="795190"/>
      </dsp:txXfrm>
    </dsp:sp>
    <dsp:sp modelId="{FCD530B5-7BFB-452C-BD56-F976180369E9}">
      <dsp:nvSpPr>
        <dsp:cNvPr id="0" name=""/>
        <dsp:cNvSpPr/>
      </dsp:nvSpPr>
      <dsp:spPr>
        <a:xfrm>
          <a:off x="3712131" y="548887"/>
          <a:ext cx="1686853" cy="1670437"/>
        </a:xfrm>
        <a:prstGeom prst="rect">
          <a:avLst/>
        </a:prstGeom>
        <a:solidFill>
          <a:schemeClr val="accent5">
            <a:alpha val="90000"/>
            <a:tint val="40000"/>
            <a:hueOff val="0"/>
            <a:satOff val="0"/>
            <a:lumOff val="0"/>
            <a:alphaOff val="0"/>
          </a:schemeClr>
        </a:solidFill>
        <a:ln w="12700" cap="flat" cmpd="sng" algn="ctr">
          <a:solidFill>
            <a:schemeClr val="accent5">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0" tIns="71120" rIns="71120" bIns="71120" numCol="1" spcCol="1270" anchor="ctr" anchorCtr="0">
          <a:noAutofit/>
        </a:bodyPr>
        <a:lstStyle/>
        <a:p>
          <a:pPr marL="0" lvl="0" indent="0" algn="l" defTabSz="444500">
            <a:lnSpc>
              <a:spcPct val="90000"/>
            </a:lnSpc>
            <a:spcBef>
              <a:spcPct val="0"/>
            </a:spcBef>
            <a:spcAft>
              <a:spcPct val="35000"/>
            </a:spcAft>
            <a:buNone/>
          </a:pPr>
          <a:r>
            <a:rPr lang="cs-CZ" sz="1000" kern="1200"/>
            <a:t>Svoboda podnikání (článek 16)</a:t>
          </a:r>
        </a:p>
        <a:p>
          <a:pPr marL="0" lvl="0" indent="0" algn="l" defTabSz="444500">
            <a:lnSpc>
              <a:spcPct val="90000"/>
            </a:lnSpc>
            <a:spcBef>
              <a:spcPct val="0"/>
            </a:spcBef>
            <a:spcAft>
              <a:spcPct val="35000"/>
            </a:spcAft>
            <a:buNone/>
          </a:pPr>
          <a:r>
            <a:rPr lang="cs-CZ" sz="1000" kern="1200"/>
            <a:t>Právo na kolektivní vyjednávání a akce (článek 28)</a:t>
          </a:r>
        </a:p>
        <a:p>
          <a:pPr marL="0" lvl="0" indent="0" algn="l" defTabSz="444500">
            <a:lnSpc>
              <a:spcPct val="90000"/>
            </a:lnSpc>
            <a:spcBef>
              <a:spcPct val="0"/>
            </a:spcBef>
            <a:spcAft>
              <a:spcPct val="35000"/>
            </a:spcAft>
            <a:buNone/>
          </a:pPr>
          <a:r>
            <a:rPr lang="cs-CZ" sz="1000" kern="1200"/>
            <a:t>Ochrana životního prostředí (článek 37)</a:t>
          </a:r>
        </a:p>
        <a:p>
          <a:pPr marL="0" lvl="0" indent="0" algn="l" defTabSz="444500">
            <a:lnSpc>
              <a:spcPct val="90000"/>
            </a:lnSpc>
            <a:spcBef>
              <a:spcPct val="0"/>
            </a:spcBef>
            <a:spcAft>
              <a:spcPct val="35000"/>
            </a:spcAft>
            <a:buNone/>
          </a:pPr>
          <a:r>
            <a:rPr lang="cs-CZ" sz="1000" kern="1200"/>
            <a:t>... </a:t>
          </a:r>
        </a:p>
      </dsp:txBody>
      <dsp:txXfrm>
        <a:off x="3982028" y="548887"/>
        <a:ext cx="1416956" cy="1670437"/>
      </dsp:txXfrm>
    </dsp:sp>
    <dsp:sp modelId="{447720BD-F307-4FB9-8136-C6F0DA797394}">
      <dsp:nvSpPr>
        <dsp:cNvPr id="0" name=""/>
        <dsp:cNvSpPr/>
      </dsp:nvSpPr>
      <dsp:spPr>
        <a:xfrm>
          <a:off x="2812476" y="99060"/>
          <a:ext cx="1124568" cy="1124568"/>
        </a:xfrm>
        <a:prstGeom prst="ellipse">
          <a:avLst/>
        </a:prstGeom>
        <a:solidFill>
          <a:schemeClr val="accent5">
            <a:hueOff val="0"/>
            <a:satOff val="0"/>
            <a:lumOff val="0"/>
            <a:alphaOff val="0"/>
          </a:schemeClr>
        </a:solidFill>
        <a:ln w="19050" cap="flat" cmpd="sng" algn="ctr">
          <a:solidFill>
            <a:schemeClr val="lt1">
              <a:hueOff val="0"/>
              <a:satOff val="0"/>
              <a:lumOff val="0"/>
              <a:alphaOff val="0"/>
            </a:schemeClr>
          </a:solidFill>
          <a:prstDash val="solid"/>
          <a:miter lim="800000"/>
        </a:ln>
        <a:effectLst/>
      </dsp:spPr>
      <dsp:style>
        <a:lnRef idx="3">
          <a:scrgbClr r="0" g="0" b="0"/>
        </a:lnRef>
        <a:fillRef idx="1">
          <a:scrgbClr r="0" g="0" b="0"/>
        </a:fillRef>
        <a:effectRef idx="1">
          <a:scrgbClr r="0" g="0" b="0"/>
        </a:effectRef>
        <a:fontRef idx="minor">
          <a:schemeClr val="lt1"/>
        </a:fontRef>
      </dsp:style>
      <dsp:txBody>
        <a:bodyPr spcFirstLastPara="0" vert="horz" wrap="square" lIns="0" tIns="0" rIns="0" bIns="0" numCol="1" spcCol="1270" anchor="ctr" anchorCtr="0">
          <a:noAutofit/>
        </a:bodyPr>
        <a:lstStyle/>
        <a:p>
          <a:pPr marL="0" lvl="0" indent="0" algn="ctr" defTabSz="977900">
            <a:lnSpc>
              <a:spcPct val="90000"/>
            </a:lnSpc>
            <a:spcBef>
              <a:spcPct val="0"/>
            </a:spcBef>
            <a:spcAft>
              <a:spcPct val="35000"/>
            </a:spcAft>
            <a:buNone/>
          </a:pPr>
          <a:r>
            <a:rPr lang="cs-CZ" sz="2200" kern="1200"/>
            <a:t>Zásady</a:t>
          </a:r>
        </a:p>
      </dsp:txBody>
      <dsp:txXfrm>
        <a:off x="2977165" y="263749"/>
        <a:ext cx="795190" cy="795190"/>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10263E5-A21A-4DAF-98EE-CA1E2A4DD5D1}">
      <dsp:nvSpPr>
        <dsp:cNvPr id="0" name=""/>
        <dsp:cNvSpPr/>
      </dsp:nvSpPr>
      <dsp:spPr>
        <a:xfrm rot="5400000">
          <a:off x="1322609" y="636620"/>
          <a:ext cx="1471408" cy="1280125"/>
        </a:xfrm>
        <a:prstGeom prst="hexagon">
          <a:avLst>
            <a:gd name="adj" fmla="val 25000"/>
            <a:gd name="vf" fmla="val 115470"/>
          </a:avLst>
        </a:prstGeom>
        <a:solidFill>
          <a:schemeClr val="accent1">
            <a:hueOff val="0"/>
            <a:satOff val="0"/>
            <a:lumOff val="0"/>
            <a:alpha val="80000"/>
          </a:schemeClr>
        </a:solidFill>
        <a:ln w="19050" cap="flat" cmpd="sng" algn="ctr">
          <a:solidFill>
            <a:schemeClr val="lt1">
              <a:hueOff val="0"/>
              <a:satOff val="0"/>
              <a:lumOff val="0"/>
              <a:alphaOff val="0"/>
            </a:schemeClr>
          </a:solidFill>
          <a:prstDash val="solid"/>
          <a:miter lim="800000"/>
        </a:ln>
        <a:effectLst/>
      </dsp:spPr>
      <dsp:style>
        <a:lnRef idx="3">
          <a:scrgbClr r="0" g="0" b="0"/>
        </a:lnRef>
        <a:fillRef idx="1">
          <a:scrgbClr r="0" g="0" b="0"/>
        </a:fillRef>
        <a:effectRef idx="1">
          <a:scrgbClr r="0" g="0" b="0"/>
        </a:effectRef>
        <a:fontRef idx="minor">
          <a:schemeClr val="lt1"/>
        </a:fontRef>
      </dsp:style>
      <dsp:txBody>
        <a:bodyPr spcFirstLastPara="0" vert="horz" wrap="square" lIns="53340" tIns="53340" rIns="53340" bIns="53340" numCol="1" spcCol="1270" anchor="ctr" anchorCtr="0">
          <a:noAutofit/>
        </a:bodyPr>
        <a:lstStyle/>
        <a:p>
          <a:pPr marL="0" lvl="0" indent="0" algn="ctr" defTabSz="622300">
            <a:lnSpc>
              <a:spcPct val="90000"/>
            </a:lnSpc>
            <a:spcBef>
              <a:spcPct val="0"/>
            </a:spcBef>
            <a:spcAft>
              <a:spcPct val="35000"/>
            </a:spcAft>
            <a:buNone/>
          </a:pPr>
          <a:r>
            <a:rPr lang="cs-CZ" sz="1400" kern="1200"/>
            <a:t>Prahové pravidlo?</a:t>
          </a:r>
        </a:p>
      </dsp:txBody>
      <dsp:txXfrm rot="-5400000">
        <a:off x="1617736" y="770273"/>
        <a:ext cx="881153" cy="1012820"/>
      </dsp:txXfrm>
    </dsp:sp>
    <dsp:sp modelId="{C2F4B1F9-1570-4B92-AF07-8066FA05BA2E}">
      <dsp:nvSpPr>
        <dsp:cNvPr id="0" name=""/>
        <dsp:cNvSpPr/>
      </dsp:nvSpPr>
      <dsp:spPr>
        <a:xfrm>
          <a:off x="2339198" y="324690"/>
          <a:ext cx="1642092" cy="882845"/>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45720" tIns="45720" rIns="45720" bIns="45720" numCol="1" spcCol="1270" anchor="t" anchorCtr="0">
          <a:noAutofit/>
        </a:bodyPr>
        <a:lstStyle/>
        <a:p>
          <a:pPr marL="0" lvl="0" indent="0" algn="l" defTabSz="533400">
            <a:lnSpc>
              <a:spcPct val="90000"/>
            </a:lnSpc>
            <a:spcBef>
              <a:spcPct val="0"/>
            </a:spcBef>
            <a:spcAft>
              <a:spcPts val="0"/>
            </a:spcAft>
            <a:buNone/>
          </a:pPr>
          <a:r>
            <a:rPr lang="cs-CZ" sz="1200" kern="1200"/>
            <a:t>Článek 51</a:t>
          </a:r>
        </a:p>
        <a:p>
          <a:pPr marL="0" lvl="0" indent="0" algn="l" defTabSz="533400">
            <a:lnSpc>
              <a:spcPct val="90000"/>
            </a:lnSpc>
            <a:spcBef>
              <a:spcPct val="0"/>
            </a:spcBef>
            <a:spcAft>
              <a:spcPts val="0"/>
            </a:spcAft>
            <a:buNone/>
          </a:pPr>
          <a:r>
            <a:rPr lang="cs-CZ" sz="1200" kern="1200"/>
            <a:t>Listiny</a:t>
          </a:r>
        </a:p>
      </dsp:txBody>
      <dsp:txXfrm>
        <a:off x="2339198" y="324690"/>
        <a:ext cx="1642092" cy="882845"/>
      </dsp:txXfrm>
    </dsp:sp>
    <dsp:sp modelId="{25BCEC4B-9856-4899-AF69-1BFEF1938F17}">
      <dsp:nvSpPr>
        <dsp:cNvPr id="0" name=""/>
        <dsp:cNvSpPr/>
      </dsp:nvSpPr>
      <dsp:spPr>
        <a:xfrm rot="5400000">
          <a:off x="-7440" y="637061"/>
          <a:ext cx="1471408" cy="1280125"/>
        </a:xfrm>
        <a:prstGeom prst="hexagon">
          <a:avLst>
            <a:gd name="adj" fmla="val 25000"/>
            <a:gd name="vf" fmla="val 115470"/>
          </a:avLst>
        </a:prstGeom>
        <a:solidFill>
          <a:schemeClr val="accent1">
            <a:hueOff val="0"/>
            <a:satOff val="0"/>
            <a:lumOff val="0"/>
          </a:schemeClr>
        </a:solidFill>
        <a:ln w="19050" cap="flat" cmpd="sng" algn="ctr">
          <a:solidFill>
            <a:schemeClr val="lt1">
              <a:hueOff val="0"/>
              <a:satOff val="0"/>
              <a:lumOff val="0"/>
              <a:alphaOff val="0"/>
            </a:schemeClr>
          </a:solidFill>
          <a:prstDash val="solid"/>
          <a:miter lim="800000"/>
        </a:ln>
        <a:effectLst/>
      </dsp:spPr>
      <dsp:style>
        <a:lnRef idx="3">
          <a:scrgbClr r="0" g="0" b="0"/>
        </a:lnRef>
        <a:fillRef idx="1">
          <a:scrgbClr r="0" g="0" b="0"/>
        </a:fillRef>
        <a:effectRef idx="1">
          <a:scrgbClr r="0" g="0" b="0"/>
        </a:effectRef>
        <a:fontRef idx="minor">
          <a:schemeClr val="lt1"/>
        </a:fontRef>
      </dsp:style>
      <dsp:txBody>
        <a:bodyPr spcFirstLastPara="0" vert="horz" wrap="square" lIns="0" tIns="0" rIns="0" bIns="0" numCol="1" spcCol="1270" anchor="ctr" anchorCtr="0">
          <a:noAutofit/>
        </a:bodyPr>
        <a:lstStyle/>
        <a:p>
          <a:pPr marL="0" lvl="0" indent="0" algn="ctr" defTabSz="800100">
            <a:lnSpc>
              <a:spcPct val="90000"/>
            </a:lnSpc>
            <a:spcBef>
              <a:spcPct val="0"/>
            </a:spcBef>
            <a:spcAft>
              <a:spcPct val="35000"/>
            </a:spcAft>
            <a:buNone/>
          </a:pPr>
          <a:r>
            <a:rPr lang="cs-CZ" sz="1800" b="1" kern="1200"/>
            <a:t>1</a:t>
          </a:r>
        </a:p>
        <a:p>
          <a:pPr marL="0" lvl="0" indent="0" algn="ctr" defTabSz="800100">
            <a:lnSpc>
              <a:spcPct val="90000"/>
            </a:lnSpc>
            <a:spcBef>
              <a:spcPct val="0"/>
            </a:spcBef>
            <a:spcAft>
              <a:spcPct val="35000"/>
            </a:spcAft>
            <a:buNone/>
          </a:pPr>
          <a:r>
            <a:rPr lang="cs-CZ" sz="1400" kern="1200"/>
            <a:t>Lze Listinu použít?</a:t>
          </a:r>
        </a:p>
      </dsp:txBody>
      <dsp:txXfrm rot="-5400000">
        <a:off x="287687" y="770714"/>
        <a:ext cx="881153" cy="1012820"/>
      </dsp:txXfrm>
    </dsp:sp>
    <dsp:sp modelId="{3612A6CE-A210-4F99-8296-3FCB0A2F5BEA}">
      <dsp:nvSpPr>
        <dsp:cNvPr id="0" name=""/>
        <dsp:cNvSpPr/>
      </dsp:nvSpPr>
      <dsp:spPr>
        <a:xfrm rot="5400000">
          <a:off x="674086" y="1835068"/>
          <a:ext cx="1471408" cy="1280125"/>
        </a:xfrm>
        <a:prstGeom prst="hexagon">
          <a:avLst>
            <a:gd name="adj" fmla="val 25000"/>
            <a:gd name="vf" fmla="val 115470"/>
          </a:avLst>
        </a:prstGeom>
        <a:solidFill>
          <a:schemeClr val="accent1">
            <a:hueOff val="0"/>
            <a:satOff val="0"/>
            <a:lumOff val="0"/>
          </a:schemeClr>
        </a:solidFill>
        <a:ln w="19050" cap="flat" cmpd="sng" algn="ctr">
          <a:solidFill>
            <a:schemeClr val="lt1">
              <a:hueOff val="0"/>
              <a:satOff val="0"/>
              <a:lumOff val="0"/>
              <a:alphaOff val="0"/>
            </a:schemeClr>
          </a:solidFill>
          <a:prstDash val="solid"/>
          <a:miter lim="800000"/>
        </a:ln>
        <a:effectLst/>
      </dsp:spPr>
      <dsp:style>
        <a:lnRef idx="3">
          <a:scrgbClr r="0" g="0" b="0"/>
        </a:lnRef>
        <a:fillRef idx="1">
          <a:scrgbClr r="0" g="0" b="0"/>
        </a:fillRef>
        <a:effectRef idx="1">
          <a:scrgbClr r="0" g="0" b="0"/>
        </a:effectRef>
        <a:fontRef idx="minor">
          <a:schemeClr val="lt1"/>
        </a:fontRef>
      </dsp:style>
      <dsp:txBody>
        <a:bodyPr spcFirstLastPara="0" vert="horz" wrap="square" lIns="68580" tIns="68580" rIns="68580" bIns="68580" numCol="1" spcCol="1270" anchor="ctr" anchorCtr="0">
          <a:noAutofit/>
        </a:bodyPr>
        <a:lstStyle/>
        <a:p>
          <a:pPr marL="0" lvl="0" indent="0" algn="ctr" defTabSz="800100">
            <a:lnSpc>
              <a:spcPct val="90000"/>
            </a:lnSpc>
            <a:spcBef>
              <a:spcPct val="0"/>
            </a:spcBef>
            <a:spcAft>
              <a:spcPct val="35000"/>
            </a:spcAft>
            <a:buNone/>
          </a:pPr>
          <a:r>
            <a:rPr lang="cs-CZ" sz="1800" b="1" kern="1200"/>
            <a:t>2</a:t>
          </a:r>
        </a:p>
        <a:p>
          <a:pPr marL="0" lvl="0" indent="0" algn="ctr" defTabSz="800100">
            <a:lnSpc>
              <a:spcPct val="90000"/>
            </a:lnSpc>
            <a:spcBef>
              <a:spcPct val="0"/>
            </a:spcBef>
            <a:spcAft>
              <a:spcPct val="35000"/>
            </a:spcAft>
            <a:buNone/>
          </a:pPr>
          <a:r>
            <a:rPr lang="cs-CZ" sz="1600" kern="1200"/>
            <a:t>Porušená práva?</a:t>
          </a:r>
        </a:p>
      </dsp:txBody>
      <dsp:txXfrm rot="-5400000">
        <a:off x="969213" y="1968721"/>
        <a:ext cx="881153" cy="1012820"/>
      </dsp:txXfrm>
    </dsp:sp>
    <dsp:sp modelId="{45E2FD29-40A5-4B4D-93F2-1C11ADDA9326}">
      <dsp:nvSpPr>
        <dsp:cNvPr id="0" name=""/>
        <dsp:cNvSpPr/>
      </dsp:nvSpPr>
      <dsp:spPr>
        <a:xfrm>
          <a:off x="3500253" y="2088621"/>
          <a:ext cx="511713" cy="691091"/>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45720" tIns="45720" rIns="45720" bIns="45720" numCol="1" spcCol="1270" anchor="ctr" anchorCtr="0">
          <a:noAutofit/>
        </a:bodyPr>
        <a:lstStyle/>
        <a:p>
          <a:pPr marL="0" lvl="0" indent="0" algn="r" defTabSz="533400">
            <a:lnSpc>
              <a:spcPct val="90000"/>
            </a:lnSpc>
            <a:spcBef>
              <a:spcPct val="0"/>
            </a:spcBef>
            <a:spcAft>
              <a:spcPct val="35000"/>
            </a:spcAft>
            <a:buNone/>
          </a:pPr>
          <a:r>
            <a:rPr lang="cs-CZ" sz="1200" kern="1200"/>
            <a:t>Článek 53 Listiny</a:t>
          </a:r>
        </a:p>
      </dsp:txBody>
      <dsp:txXfrm>
        <a:off x="3500253" y="2088621"/>
        <a:ext cx="511713" cy="691091"/>
      </dsp:txXfrm>
    </dsp:sp>
    <dsp:sp modelId="{BE7A8F61-ECD5-4972-B677-B04CC67B3005}">
      <dsp:nvSpPr>
        <dsp:cNvPr id="0" name=""/>
        <dsp:cNvSpPr/>
      </dsp:nvSpPr>
      <dsp:spPr>
        <a:xfrm rot="5400000">
          <a:off x="2011241" y="1819074"/>
          <a:ext cx="1471408" cy="1280125"/>
        </a:xfrm>
        <a:prstGeom prst="hexagon">
          <a:avLst>
            <a:gd name="adj" fmla="val 25000"/>
            <a:gd name="vf" fmla="val 115470"/>
          </a:avLst>
        </a:prstGeom>
        <a:solidFill>
          <a:schemeClr val="accent1">
            <a:hueOff val="0"/>
            <a:satOff val="0"/>
            <a:lumOff val="0"/>
            <a:alpha val="80000"/>
          </a:schemeClr>
        </a:solidFill>
        <a:ln w="19050" cap="flat" cmpd="sng" algn="ctr">
          <a:solidFill>
            <a:schemeClr val="lt1">
              <a:hueOff val="0"/>
              <a:satOff val="0"/>
              <a:lumOff val="0"/>
              <a:alphaOff val="0"/>
            </a:schemeClr>
          </a:solidFill>
          <a:prstDash val="solid"/>
          <a:miter lim="800000"/>
        </a:ln>
        <a:effectLst/>
      </dsp:spPr>
      <dsp:style>
        <a:lnRef idx="3">
          <a:scrgbClr r="0" g="0" b="0"/>
        </a:lnRef>
        <a:fillRef idx="1">
          <a:scrgbClr r="0" g="0" b="0"/>
        </a:fillRef>
        <a:effectRef idx="1">
          <a:scrgbClr r="0" g="0" b="0"/>
        </a:effectRef>
        <a:fontRef idx="minor">
          <a:schemeClr val="lt1"/>
        </a:fontRef>
      </dsp:style>
      <dsp:txBody>
        <a:bodyPr spcFirstLastPara="0" vert="horz" wrap="square" lIns="0" tIns="0" rIns="0" bIns="0" numCol="1" spcCol="1270" anchor="ctr" anchorCtr="0">
          <a:noAutofit/>
        </a:bodyPr>
        <a:lstStyle/>
        <a:p>
          <a:pPr marL="0" lvl="0" indent="0" algn="ctr" defTabSz="622300">
            <a:lnSpc>
              <a:spcPct val="90000"/>
            </a:lnSpc>
            <a:spcBef>
              <a:spcPct val="0"/>
            </a:spcBef>
            <a:spcAft>
              <a:spcPct val="35000"/>
            </a:spcAft>
            <a:buNone/>
          </a:pPr>
          <a:r>
            <a:rPr lang="cs-CZ" sz="1400" kern="1200"/>
            <a:t>Který článek Listiny? </a:t>
          </a:r>
        </a:p>
      </dsp:txBody>
      <dsp:txXfrm rot="-5400000">
        <a:off x="2306368" y="1952727"/>
        <a:ext cx="881153" cy="1012820"/>
      </dsp:txXfrm>
    </dsp:sp>
    <dsp:sp modelId="{655CD407-E435-41DC-8905-A9A37EEE6CEB}">
      <dsp:nvSpPr>
        <dsp:cNvPr id="0" name=""/>
        <dsp:cNvSpPr/>
      </dsp:nvSpPr>
      <dsp:spPr>
        <a:xfrm rot="5400000">
          <a:off x="3325532" y="2705789"/>
          <a:ext cx="1471408" cy="1280125"/>
        </a:xfrm>
        <a:prstGeom prst="hexagon">
          <a:avLst>
            <a:gd name="adj" fmla="val 25000"/>
            <a:gd name="vf" fmla="val 115470"/>
          </a:avLst>
        </a:prstGeom>
        <a:solidFill>
          <a:schemeClr val="accent1">
            <a:alpha val="50000"/>
          </a:schemeClr>
        </a:solidFill>
        <a:ln w="19050" cap="flat" cmpd="sng" algn="ctr">
          <a:solidFill>
            <a:schemeClr val="lt1">
              <a:hueOff val="0"/>
              <a:satOff val="0"/>
              <a:lumOff val="0"/>
              <a:alphaOff val="0"/>
            </a:schemeClr>
          </a:solidFill>
          <a:prstDash val="solid"/>
          <a:miter lim="800000"/>
        </a:ln>
        <a:effectLst/>
      </dsp:spPr>
      <dsp:style>
        <a:lnRef idx="3">
          <a:scrgbClr r="0" g="0" b="0"/>
        </a:lnRef>
        <a:fillRef idx="1">
          <a:scrgbClr r="0" g="0" b="0"/>
        </a:fillRef>
        <a:effectRef idx="1">
          <a:scrgbClr r="0" g="0" b="0"/>
        </a:effectRef>
        <a:fontRef idx="minor">
          <a:schemeClr val="lt1"/>
        </a:fontRef>
      </dsp:style>
      <dsp:txBody>
        <a:bodyPr spcFirstLastPara="0" vert="horz" wrap="square" lIns="53340" tIns="53340" rIns="53340" bIns="53340" numCol="1" spcCol="1270" anchor="ctr" anchorCtr="0">
          <a:noAutofit/>
        </a:bodyPr>
        <a:lstStyle/>
        <a:p>
          <a:pPr marL="0" lvl="0" indent="0" algn="ctr" defTabSz="622300">
            <a:lnSpc>
              <a:spcPct val="90000"/>
            </a:lnSpc>
            <a:spcBef>
              <a:spcPct val="0"/>
            </a:spcBef>
            <a:spcAft>
              <a:spcPct val="35000"/>
            </a:spcAft>
            <a:buNone/>
          </a:pPr>
          <a:r>
            <a:rPr lang="cs-CZ" sz="1400" kern="1200"/>
            <a:t>Judikatura SDEU</a:t>
          </a:r>
        </a:p>
        <a:p>
          <a:pPr marL="0" lvl="0" indent="0" algn="ctr" defTabSz="622300">
            <a:lnSpc>
              <a:spcPct val="90000"/>
            </a:lnSpc>
            <a:spcBef>
              <a:spcPct val="0"/>
            </a:spcBef>
            <a:spcAft>
              <a:spcPct val="35000"/>
            </a:spcAft>
            <a:buNone/>
          </a:pPr>
          <a:endParaRPr kern="1200"/>
        </a:p>
      </dsp:txBody>
      <dsp:txXfrm rot="-5400000">
        <a:off x="3620659" y="2839442"/>
        <a:ext cx="881153" cy="1012820"/>
      </dsp:txXfrm>
    </dsp:sp>
    <dsp:sp modelId="{44766856-5157-4F1F-BE41-87873A449640}">
      <dsp:nvSpPr>
        <dsp:cNvPr id="0" name=""/>
        <dsp:cNvSpPr/>
      </dsp:nvSpPr>
      <dsp:spPr>
        <a:xfrm>
          <a:off x="3657568" y="2852209"/>
          <a:ext cx="1642092" cy="882845"/>
        </a:xfrm>
        <a:prstGeom prst="rect">
          <a:avLst/>
        </a:prstGeom>
        <a:noFill/>
        <a:ln>
          <a:noFill/>
        </a:ln>
        <a:effectLst/>
      </dsp:spPr>
      <dsp:style>
        <a:lnRef idx="0">
          <a:scrgbClr r="0" g="0" b="0"/>
        </a:lnRef>
        <a:fillRef idx="0">
          <a:scrgbClr r="0" g="0" b="0"/>
        </a:fillRef>
        <a:effectRef idx="0">
          <a:scrgbClr r="0" g="0" b="0"/>
        </a:effectRef>
        <a:fontRef idx="minor"/>
      </dsp:style>
    </dsp:sp>
    <dsp:sp modelId="{AF2B83B1-C12D-4338-B278-E21189A724B1}">
      <dsp:nvSpPr>
        <dsp:cNvPr id="0" name=""/>
        <dsp:cNvSpPr/>
      </dsp:nvSpPr>
      <dsp:spPr>
        <a:xfrm rot="5400000">
          <a:off x="2661506" y="634398"/>
          <a:ext cx="1471408" cy="1280125"/>
        </a:xfrm>
        <a:prstGeom prst="hexagon">
          <a:avLst>
            <a:gd name="adj" fmla="val 25000"/>
            <a:gd name="vf" fmla="val 115470"/>
          </a:avLst>
        </a:prstGeom>
        <a:solidFill>
          <a:schemeClr val="accent1">
            <a:alpha val="50000"/>
          </a:schemeClr>
        </a:solidFill>
        <a:ln w="19050" cap="flat" cmpd="sng" algn="ctr">
          <a:solidFill>
            <a:schemeClr val="lt1">
              <a:hueOff val="0"/>
              <a:satOff val="0"/>
              <a:lumOff val="0"/>
              <a:alphaOff val="0"/>
            </a:schemeClr>
          </a:solidFill>
          <a:prstDash val="solid"/>
          <a:miter lim="800000"/>
        </a:ln>
        <a:effectLst/>
      </dsp:spPr>
      <dsp:style>
        <a:lnRef idx="3">
          <a:scrgbClr r="0" g="0" b="0"/>
        </a:lnRef>
        <a:fillRef idx="1">
          <a:scrgbClr r="0" g="0" b="0"/>
        </a:fillRef>
        <a:effectRef idx="1">
          <a:scrgbClr r="0" g="0" b="0"/>
        </a:effectRef>
        <a:fontRef idx="minor">
          <a:schemeClr val="lt1"/>
        </a:fontRef>
      </dsp:style>
      <dsp:txBody>
        <a:bodyPr spcFirstLastPara="0" vert="horz" wrap="square" lIns="0" tIns="0" rIns="0" bIns="0" numCol="1" spcCol="1270" anchor="ctr" anchorCtr="0">
          <a:noAutofit/>
        </a:bodyPr>
        <a:lstStyle/>
        <a:p>
          <a:pPr marL="0" lvl="0" indent="0" algn="ctr" defTabSz="622300">
            <a:lnSpc>
              <a:spcPct val="90000"/>
            </a:lnSpc>
            <a:spcBef>
              <a:spcPct val="0"/>
            </a:spcBef>
            <a:spcAft>
              <a:spcPct val="35000"/>
            </a:spcAft>
            <a:buNone/>
          </a:pPr>
          <a:r>
            <a:rPr lang="cs-CZ" sz="1400" kern="1200"/>
            <a:t>Judikatura SDEU </a:t>
          </a:r>
        </a:p>
        <a:p>
          <a:pPr marL="0" lvl="0" indent="0" algn="ctr" defTabSz="622300">
            <a:lnSpc>
              <a:spcPct val="90000"/>
            </a:lnSpc>
            <a:spcBef>
              <a:spcPct val="0"/>
            </a:spcBef>
            <a:spcAft>
              <a:spcPct val="35000"/>
            </a:spcAft>
            <a:buNone/>
          </a:pPr>
          <a:endParaRPr kern="1200"/>
        </a:p>
      </dsp:txBody>
      <dsp:txXfrm rot="-5400000">
        <a:off x="2956633" y="768051"/>
        <a:ext cx="881153" cy="1012820"/>
      </dsp:txXfrm>
    </dsp:sp>
  </dsp:spTree>
</dsp:drawing>
</file>

<file path=word/diagrams/layout1.xml><?xml version="1.0" encoding="utf-8"?>
<dgm:layoutDef xmlns:dgm="http://schemas.openxmlformats.org/drawingml/2006/diagram" xmlns:a="http://schemas.openxmlformats.org/drawingml/2006/main" uniqueId="urn:microsoft.com/office/officeart/2005/8/layout/hList9">
  <dgm:title val=""/>
  <dgm:desc val=""/>
  <dgm:catLst>
    <dgm:cat type="list" pri="8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Lst>
      <dgm:cxnLst>
        <dgm:cxn modelId="3" srcId="0" destId="1" srcOrd="0" destOrd="0"/>
        <dgm:cxn modelId="4" srcId="0" destId="2" srcOrd="1" destOrd="0"/>
        <dgm:cxn modelId="13" srcId="1" destId="11" srcOrd="0" destOrd="0"/>
        <dgm:cxn modelId="14" srcId="1" destId="12" srcOrd="0" destOrd="0"/>
        <dgm:cxn modelId="23" srcId="2" destId="21" srcOrd="0" destOrd="0"/>
        <dgm:cxn modelId="24" srcId="2" destId="22" srcOrd="0" destOrd="0"/>
      </dgm:cxnLst>
      <dgm:bg/>
      <dgm:whole/>
    </dgm:dataModel>
  </dgm:sampData>
  <dgm:styleData>
    <dgm:dataModel>
      <dgm:ptLst>
        <dgm:pt modelId="0" type="doc"/>
        <dgm:pt modelId="1"/>
        <dgm:pt modelId="2"/>
      </dgm:ptLst>
      <dgm:cxnLst>
        <dgm:cxn modelId="3" srcId="0" destId="1" srcOrd="0" destOrd="0"/>
        <dgm:cxn modelId="4" srcId="1" destId="2" srcOrd="0" destOrd="0"/>
      </dgm:cxnLst>
      <dgm:bg/>
      <dgm:whole/>
    </dgm:dataModel>
  </dgm:styleData>
  <dgm:clrData>
    <dgm:dataModel>
      <dgm:ptLst>
        <dgm:pt modelId="0" type="doc"/>
        <dgm:pt modelId="1"/>
        <dgm:pt modelId="11"/>
        <dgm:pt modelId="12"/>
        <dgm:pt modelId="13"/>
        <dgm:pt modelId="14"/>
        <dgm:pt modelId="2"/>
        <dgm:pt modelId="21"/>
        <dgm:pt modelId="22"/>
        <dgm:pt modelId="23"/>
        <dgm:pt modelId="24"/>
        <dgm:pt modelId="3"/>
        <dgm:pt modelId="31"/>
        <dgm:pt modelId="32"/>
        <dgm:pt modelId="33"/>
        <dgm:pt modelId="34"/>
      </dgm:ptLst>
      <dgm:cxnLst>
        <dgm:cxn modelId="4" srcId="0" destId="1" srcOrd="0" destOrd="0"/>
        <dgm:cxn modelId="5" srcId="0" destId="2" srcOrd="1" destOrd="0"/>
        <dgm:cxn modelId="6" srcId="0" destId="3" srcOrd="1" destOrd="0"/>
        <dgm:cxn modelId="15" srcId="1" destId="11" srcOrd="0" destOrd="0"/>
        <dgm:cxn modelId="16" srcId="1" destId="12" srcOrd="0" destOrd="0"/>
        <dgm:cxn modelId="17" srcId="1" destId="13" srcOrd="0" destOrd="0"/>
        <dgm:cxn modelId="18" srcId="1" destId="14" srcOrd="0" destOrd="0"/>
        <dgm:cxn modelId="25" srcId="2" destId="21" srcOrd="0" destOrd="0"/>
        <dgm:cxn modelId="26" srcId="2" destId="22" srcOrd="0" destOrd="0"/>
        <dgm:cxn modelId="27" srcId="2" destId="23" srcOrd="0" destOrd="0"/>
        <dgm:cxn modelId="28" srcId="2" destId="24" srcOrd="0" destOrd="0"/>
        <dgm:cxn modelId="35" srcId="3" destId="31" srcOrd="0" destOrd="0"/>
        <dgm:cxn modelId="36" srcId="3" destId="32" srcOrd="0" destOrd="0"/>
        <dgm:cxn modelId="37" srcId="3" destId="33" srcOrd="0" destOrd="0"/>
        <dgm:cxn modelId="38" srcId="3" destId="34" srcOrd="0" destOrd="0"/>
      </dgm:cxnLst>
      <dgm:bg/>
      <dgm:whole/>
    </dgm:dataModel>
  </dgm:clrData>
  <dgm:layoutNode name="list">
    <dgm:varLst>
      <dgm:dir/>
      <dgm:animLvl val="lvl"/>
    </dgm:varLst>
    <dgm:choose name="Name0">
      <dgm:if name="Name1" func="var" arg="dir" op="equ" val="norm">
        <dgm:alg type="lin">
          <dgm:param type="linDir" val="fromL"/>
          <dgm:param type="fallback" val="2D"/>
          <dgm:param type="nodeVertAlign" val="t"/>
        </dgm:alg>
      </dgm:if>
      <dgm:else name="Name2">
        <dgm:alg type="lin">
          <dgm:param type="linDir" val="fromR"/>
          <dgm:param type="fallback" val="2D"/>
          <dgm:param type="nodeVertAlign" val="t"/>
        </dgm:alg>
      </dgm:else>
    </dgm:choose>
    <dgm:shape xmlns:r="http://schemas.openxmlformats.org/officeDocument/2006/relationships" r:blip="">
      <dgm:adjLst/>
    </dgm:shape>
    <dgm:presOf/>
    <dgm:constrLst>
      <dgm:constr type="w" for="ch" forName="circle" refType="w" fact="0.5"/>
      <dgm:constr type="w" for="ch" forName="vertFlow" refType="w" fact="0.75"/>
      <dgm:constr type="h" for="des" forName="firstComp" refType="w" refFor="ch" refForName="vertFlow" fact="0.667"/>
      <dgm:constr type="h" for="des" forName="comp" refType="h" refFor="des" refForName="firstComp" op="equ"/>
      <dgm:constr type="h" for="des" forName="topSpace" refType="w" refFor="ch" refForName="circle" op="equ" fact="0.4"/>
      <dgm:constr type="w" for="ch" forName="posSpace" refType="w" fact="0.4"/>
      <dgm:constr type="w" for="ch" forName="negSpace" refType="w" fact="-1.15"/>
      <dgm:constr type="w" for="ch" forName="transSpace" refType="w" fact="0.75"/>
      <dgm:constr type="primFontSz" for="ch" forName="circle" op="equ" val="65"/>
      <dgm:constr type="primFontSz" for="des" forName="firstChildTx" val="65"/>
      <dgm:constr type="primFontSz" for="des" forName="childTx" refType="primFontSz" refFor="des" refForName="firstChildTx" op="equ"/>
    </dgm:constrLst>
    <dgm:ruleLst/>
    <dgm:forEach name="Name3" axis="ch" ptType="node">
      <dgm:layoutNode name="posSpace">
        <dgm:alg type="sp"/>
        <dgm:shape xmlns:r="http://schemas.openxmlformats.org/officeDocument/2006/relationships" r:blip="">
          <dgm:adjLst/>
        </dgm:shape>
        <dgm:presOf/>
        <dgm:constrLst/>
        <dgm:ruleLst/>
      </dgm:layoutNode>
      <dgm:layoutNode name="vertFlow">
        <dgm:alg type="lin">
          <dgm:param type="linDir" val="fromT"/>
        </dgm:alg>
        <dgm:shape xmlns:r="http://schemas.openxmlformats.org/officeDocument/2006/relationships" r:blip="">
          <dgm:adjLst/>
        </dgm:shape>
        <dgm:presOf/>
        <dgm:constrLst>
          <dgm:constr type="w" for="ch" forName="firstComp" refType="w"/>
          <dgm:constr type="w" for="ch" forName="comp" refType="w"/>
        </dgm:constrLst>
        <dgm:ruleLst/>
        <dgm:layoutNode name="topSpace">
          <dgm:alg type="sp"/>
          <dgm:shape xmlns:r="http://schemas.openxmlformats.org/officeDocument/2006/relationships" r:blip="">
            <dgm:adjLst/>
          </dgm:shape>
          <dgm:presOf/>
          <dgm:constrLst/>
          <dgm:ruleLst/>
        </dgm:layoutNode>
        <dgm:layoutNode name="firstComp">
          <dgm:alg type="composite"/>
          <dgm:shape xmlns:r="http://schemas.openxmlformats.org/officeDocument/2006/relationships" r:blip="">
            <dgm:adjLst/>
          </dgm:shape>
          <dgm:presOf/>
          <dgm:choose name="Name4">
            <dgm:if name="Name5" func="var" arg="dir" op="equ" val="norm">
              <dgm:constrLst>
                <dgm:constr type="l" for="ch" forName="firstChild"/>
                <dgm:constr type="t" for="ch" forName="firstChild"/>
                <dgm:constr type="w" for="ch" forName="firstChild" refType="w"/>
                <dgm:constr type="h" for="ch" forName="firstChild" refType="h"/>
                <dgm:constr type="l" for="ch" forName="firstChildTx" refType="w" fact="0.16"/>
                <dgm:constr type="r" for="ch" forName="firstChildTx" refType="w"/>
                <dgm:constr type="h" for="ch" forName="firstChildTx" refFor="ch" refForName="firstChild" op="equ"/>
              </dgm:constrLst>
            </dgm:if>
            <dgm:else name="Name6">
              <dgm:constrLst>
                <dgm:constr type="l" for="ch" forName="firstChild"/>
                <dgm:constr type="t" for="ch" forName="firstChild"/>
                <dgm:constr type="w" for="ch" forName="firstChild" refType="w"/>
                <dgm:constr type="h" for="ch" forName="firstChild" refType="h"/>
                <dgm:constr type="l" for="ch" forName="firstChildTx"/>
                <dgm:constr type="r" for="ch" forName="firstChildTx" refType="w" fact="0.825"/>
                <dgm:constr type="h" for="ch" forName="firstChildTx" refFor="ch" refForName="firstChild" op="equ"/>
              </dgm:constrLst>
            </dgm:else>
          </dgm:choose>
          <dgm:ruleLst/>
          <dgm:layoutNode name="firstChild" styleLbl="bgAccFollowNode1">
            <dgm:alg type="sp"/>
            <dgm:shape xmlns:r="http://schemas.openxmlformats.org/officeDocument/2006/relationships" type="rect" r:blip="">
              <dgm:adjLst/>
            </dgm:shape>
            <dgm:presOf axis="ch desOrSelf" ptType="node node" cnt="1 0"/>
            <dgm:constrLst/>
            <dgm:ruleLst/>
          </dgm:layoutNode>
          <dgm:layoutNode name="firstChildTx" styleLbl="bgAccFollowNode1">
            <dgm:varLst>
              <dgm:bulletEnabled val="1"/>
            </dgm:varLst>
            <dgm:alg type="tx">
              <dgm:param type="parTxLTRAlign" val="l"/>
            </dgm:alg>
            <dgm:shape xmlns:r="http://schemas.openxmlformats.org/officeDocument/2006/relationships" type="rect" r:blip="" hideGeom="1">
              <dgm:adjLst/>
            </dgm:shape>
            <dgm:presOf axis="ch desOrSelf" ptType="node node" cnt="1 0"/>
            <dgm:choose name="Name7">
              <dgm:if name="Name8" func="var" arg="dir" op="equ" val="norm">
                <dgm:constrLst>
                  <dgm:constr type="primFontSz" val="65"/>
                  <dgm:constr type="lMarg"/>
                </dgm:constrLst>
              </dgm:if>
              <dgm:else name="Name9">
                <dgm:constrLst>
                  <dgm:constr type="primFontSz" val="65"/>
                  <dgm:constr type="rMarg"/>
                </dgm:constrLst>
              </dgm:else>
            </dgm:choose>
            <dgm:ruleLst>
              <dgm:rule type="primFontSz" val="5" fact="NaN" max="NaN"/>
            </dgm:ruleLst>
          </dgm:layoutNode>
        </dgm:layoutNode>
        <dgm:forEach name="Name10" axis="ch" ptType="node" st="2">
          <dgm:layoutNode name="comp">
            <dgm:alg type="composite"/>
            <dgm:shape xmlns:r="http://schemas.openxmlformats.org/officeDocument/2006/relationships" r:blip="">
              <dgm:adjLst/>
            </dgm:shape>
            <dgm:presOf/>
            <dgm:choose name="Name11">
              <dgm:if name="Name12" func="var" arg="dir" op="equ" val="norm">
                <dgm:constrLst>
                  <dgm:constr type="l" for="ch" forName="child"/>
                  <dgm:constr type="t" for="ch" forName="child"/>
                  <dgm:constr type="w" for="ch" forName="child" refType="w"/>
                  <dgm:constr type="h" for="ch" forName="child" refType="h"/>
                  <dgm:constr type="l" for="ch" forName="childTx" refType="w" fact="0.16"/>
                  <dgm:constr type="r" for="ch" forName="childTx" refType="w"/>
                  <dgm:constr type="h" for="ch" forName="childTx" refFor="ch" refForName="child" op="equ"/>
                </dgm:constrLst>
              </dgm:if>
              <dgm:else name="Name13">
                <dgm:constrLst>
                  <dgm:constr type="l" for="ch" forName="child"/>
                  <dgm:constr type="t" for="ch" forName="child"/>
                  <dgm:constr type="w" for="ch" forName="child" refType="w"/>
                  <dgm:constr type="h" for="ch" forName="child" refType="h"/>
                  <dgm:constr type="l" for="ch" forName="childTx"/>
                  <dgm:constr type="r" for="ch" forName="childTx" refType="w" fact="0.825"/>
                  <dgm:constr type="h" for="ch" forName="childTx" refFor="ch" refForName="child" op="equ"/>
                </dgm:constrLst>
              </dgm:else>
            </dgm:choose>
            <dgm:ruleLst/>
            <dgm:layoutNode name="child" styleLbl="bgAccFollowNode1">
              <dgm:alg type="sp"/>
              <dgm:shape xmlns:r="http://schemas.openxmlformats.org/officeDocument/2006/relationships" type="rect" r:blip="">
                <dgm:adjLst/>
              </dgm:shape>
              <dgm:presOf axis="desOrSelf" ptType="node"/>
              <dgm:constrLst/>
              <dgm:ruleLst/>
            </dgm:layoutNode>
            <dgm:layoutNode name="childTx" styleLbl="bgAccFollowNode1">
              <dgm:varLst>
                <dgm:bulletEnabled val="1"/>
              </dgm:varLst>
              <dgm:alg type="tx">
                <dgm:param type="parTxLTRAlign" val="l"/>
              </dgm:alg>
              <dgm:shape xmlns:r="http://schemas.openxmlformats.org/officeDocument/2006/relationships" type="rect" r:blip="" hideGeom="1">
                <dgm:adjLst/>
              </dgm:shape>
              <dgm:presOf axis="desOrSelf" ptType="node"/>
              <dgm:choose name="Name14">
                <dgm:if name="Name15" func="var" arg="dir" op="equ" val="norm">
                  <dgm:constrLst>
                    <dgm:constr type="primFontSz" val="65"/>
                    <dgm:constr type="lMarg"/>
                  </dgm:constrLst>
                </dgm:if>
                <dgm:else name="Name16">
                  <dgm:constrLst>
                    <dgm:constr type="primFontSz" val="65"/>
                    <dgm:constr type="rMarg"/>
                  </dgm:constrLst>
                </dgm:else>
              </dgm:choose>
              <dgm:ruleLst>
                <dgm:rule type="primFontSz" val="5" fact="NaN" max="NaN"/>
              </dgm:ruleLst>
            </dgm:layoutNode>
          </dgm:layoutNode>
        </dgm:forEach>
      </dgm:layoutNode>
      <dgm:layoutNode name="negSpace">
        <dgm:alg type="sp"/>
        <dgm:shape xmlns:r="http://schemas.openxmlformats.org/officeDocument/2006/relationships" r:blip="">
          <dgm:adjLst/>
        </dgm:shape>
        <dgm:presOf/>
        <dgm:constrLst/>
        <dgm:ruleLst/>
      </dgm:layoutNode>
      <dgm:layoutNode name="circle" styleLbl="node1">
        <dgm:alg type="tx"/>
        <dgm:shape xmlns:r="http://schemas.openxmlformats.org/officeDocument/2006/relationships" type="ellipse" r:blip="">
          <dgm:adjLst/>
        </dgm:shape>
        <dgm:presOf axis="self"/>
        <dgm:constrLst>
          <dgm:constr type="lMarg"/>
          <dgm:constr type="rMarg"/>
          <dgm:constr type="tMarg"/>
          <dgm:constr type="bMarg"/>
          <dgm:constr type="h" refType="w"/>
        </dgm:constrLst>
        <dgm:ruleLst>
          <dgm:rule type="primFontSz" val="5" fact="NaN" max="NaN"/>
        </dgm:ruleLst>
      </dgm:layoutNode>
      <dgm:forEach name="Name17" axis="followSib" ptType="sibTrans" cnt="1">
        <dgm:layoutNode name="transSpace">
          <dgm:alg type="sp"/>
          <dgm:shape xmlns:r="http://schemas.openxmlformats.org/officeDocument/2006/relationships" r:blip="">
            <dgm:adjLst/>
          </dgm:shape>
          <dgm:presOf/>
          <dgm:constrLst/>
          <dgm:ruleLst/>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8/layout/AlternatingHexagons">
  <dgm:title val=""/>
  <dgm:desc val=""/>
  <dgm:catLst>
    <dgm:cat type="list" pri="1500"/>
  </dgm:catLst>
  <dgm:sampData>
    <dgm:dataModel>
      <dgm:ptLst>
        <dgm:pt modelId="0" type="doc"/>
        <dgm:pt modelId="10">
          <dgm:prSet phldr="1"/>
        </dgm:pt>
        <dgm:pt modelId="11">
          <dgm:prSet phldr="1"/>
        </dgm:pt>
        <dgm:pt modelId="20">
          <dgm:prSet phldr="1"/>
        </dgm:pt>
        <dgm:pt modelId="21">
          <dgm:prSet phldr="1"/>
        </dgm:pt>
        <dgm:pt modelId="30">
          <dgm:prSet phldr="1"/>
        </dgm:pt>
        <dgm:pt modelId="31">
          <dgm:prSet phldr="1"/>
        </dgm:pt>
      </dgm:ptLst>
      <dgm:cxnLst>
        <dgm:cxn modelId="40" srcId="0" destId="10" srcOrd="0" destOrd="0"/>
        <dgm:cxn modelId="12" srcId="10" destId="11" srcOrd="0" destOrd="0"/>
        <dgm:cxn modelId="50" srcId="0" destId="20" srcOrd="1" destOrd="0"/>
        <dgm:cxn modelId="22" srcId="20" destId="21" srcOrd="0" destOrd="0"/>
        <dgm:cxn modelId="60" srcId="0" destId="30" srcOrd="1" destOrd="0"/>
        <dgm:cxn modelId="32" srcId="30" destId="31" srcOrd="0" destOrd="0"/>
      </dgm:cxnLst>
      <dgm:bg/>
      <dgm:whole/>
    </dgm:dataModel>
  </dgm:sampData>
  <dgm:styleData>
    <dgm:dataModel>
      <dgm:ptLst>
        <dgm:pt modelId="0" type="doc"/>
        <dgm:pt modelId="10">
          <dgm:prSet phldr="1"/>
        </dgm:pt>
        <dgm:pt modelId="20">
          <dgm:prSet phldr="1"/>
        </dgm:pt>
      </dgm:ptLst>
      <dgm:cxnLst>
        <dgm:cxn modelId="60" srcId="0" destId="10" srcOrd="0" destOrd="0"/>
        <dgm:cxn modelId="70" srcId="0" destId="20" srcOrd="1" destOrd="0"/>
      </dgm:cxnLst>
      <dgm:bg/>
      <dgm:whole/>
    </dgm:dataModel>
  </dgm:styleData>
  <dgm:clrData>
    <dgm:dataModel>
      <dgm:ptLst>
        <dgm:pt modelId="0" type="doc"/>
        <dgm:pt modelId="10">
          <dgm:prSet phldr="1"/>
        </dgm:pt>
        <dgm:pt modelId="20">
          <dgm:prSet phldr="1"/>
        </dgm:pt>
        <dgm:pt modelId="30">
          <dgm:prSet phldr="1"/>
        </dgm:pt>
        <dgm:pt modelId="40">
          <dgm:prSet phldr="1"/>
        </dgm:pt>
      </dgm:ptLst>
      <dgm:cxnLst>
        <dgm:cxn modelId="60" srcId="0" destId="10" srcOrd="0" destOrd="0"/>
        <dgm:cxn modelId="70" srcId="0" destId="20" srcOrd="1" destOrd="0"/>
        <dgm:cxn modelId="80" srcId="0" destId="30" srcOrd="2" destOrd="0"/>
        <dgm:cxn modelId="90" srcId="0" destId="40" srcOrd="3" destOrd="0"/>
      </dgm:cxnLst>
      <dgm:bg/>
      <dgm:whole/>
    </dgm:dataModel>
  </dgm:clrData>
  <dgm:layoutNode name="Name0">
    <dgm:varLst>
      <dgm:chMax/>
      <dgm:chPref/>
      <dgm:dir/>
      <dgm:animLvl val="lvl"/>
    </dgm:varLst>
    <dgm:alg type="lin">
      <dgm:param type="linDir" val="fromT"/>
    </dgm:alg>
    <dgm:shape xmlns:r="http://schemas.openxmlformats.org/officeDocument/2006/relationships" r:blip="">
      <dgm:adjLst/>
    </dgm:shape>
    <dgm:constrLst>
      <dgm:constr type="primFontSz" for="des" forName="Parent1" val="65"/>
      <dgm:constr type="primFontSz" for="des" forName="Childtext1" refType="primFontSz" refFor="des" refForName="Parent1" op="lte"/>
      <dgm:constr type="w" for="ch" forName="composite" refType="w"/>
      <dgm:constr type="h" for="ch" forName="composite" refType="h"/>
      <dgm:constr type="h" for="ch" forName="spaceBetweenRectangles" refType="w" refFor="ch" refForName="composite" fact="-0.042"/>
      <dgm:constr type="sp" refType="h" refFor="ch" refForName="composite" op="equ" fact="0.1"/>
    </dgm:constrLst>
    <dgm:forEach name="nodesForEach" axis="ch" ptType="node">
      <dgm:layoutNode name="composite">
        <dgm:alg type="composite">
          <dgm:param type="ar" val="3.6"/>
        </dgm:alg>
        <dgm:shape xmlns:r="http://schemas.openxmlformats.org/officeDocument/2006/relationships" r:blip="">
          <dgm:adjLst/>
        </dgm:shape>
        <dgm:choose name="Name1">
          <dgm:if name="Name2" func="var" arg="dir" op="equ" val="norm">
            <dgm:choose name="Name3">
              <dgm:if name="Name4" axis="self" ptType="node" func="posOdd" op="equ" val="1">
                <dgm:constrLst>
                  <dgm:constr type="l" for="ch" forName="Accent1" refType="w" fact="0.18"/>
                  <dgm:constr type="t" for="ch" forName="Accent1" refType="h" fact="0"/>
                  <dgm:constr type="h" for="ch" forName="Accent1" refType="h"/>
                  <dgm:constr type="w" for="ch" forName="Accent1" refType="h" fact="0.87"/>
                  <dgm:constr type="l" for="ch" forName="Accent1Text" refType="w" fact="0.18"/>
                  <dgm:constr type="t" for="ch" forName="Accent1Text" refType="h" fact="0"/>
                  <dgm:constr type="h" for="ch" forName="Accent1Text" refType="h"/>
                  <dgm:constr type="w" for="ch" forName="Accent1Text" refType="h" fact="0.87"/>
                  <dgm:constr type="l" for="ch" forName="Parent1" refType="w" fact="0.441"/>
                  <dgm:constr type="t" for="ch" forName="Parent1" refType="h" fact="0"/>
                  <dgm:constr type="h" for="ch" forName="Parent1" refType="h"/>
                  <dgm:constr type="w" for="ch" forName="Parent1" refType="h" fact="0.87"/>
                  <dgm:constr type="l" for="ch" forName="Childtext1" refType="w" fact="0.69"/>
                  <dgm:constr type="t" for="ch" forName="Childtext1" refType="h" fact="0.2"/>
                  <dgm:constr type="w" for="ch" forName="Childtext1" refType="w" fact="0.31"/>
                  <dgm:constr type="h" for="ch" forName="Childtext1" refType="h" fact="0.6"/>
                  <dgm:constr type="l" for="ch" forName="BalanceSpacing" refType="w" fact="0"/>
                  <dgm:constr type="t" for="ch" forName="BalanceSpacing" refType="h" fact="0"/>
                  <dgm:constr type="w" for="ch" forName="BalanceSpacing" refType="w"/>
                  <dgm:constr type="h" for="ch" forName="BalanceSpacing" refType="h" fact="0.1"/>
                  <dgm:constr type="l" for="ch" forName="BalanceSpacing1" refType="w" fact="0.69"/>
                  <dgm:constr type="t" for="ch" forName="BalanceSpacing1" refType="h" fact="0.2"/>
                  <dgm:constr type="w" for="ch" forName="BalanceSpacing1" refType="w" fact="0.31"/>
                  <dgm:constr type="h" for="ch" forName="BalanceSpacing1" refType="h" fact="0.6"/>
                </dgm:constrLst>
              </dgm:if>
              <dgm:else name="Name5">
                <dgm:constrLst>
                  <dgm:constr type="l" for="ch" forName="Accent1" refType="w" fact="0.571"/>
                  <dgm:constr type="t" for="ch" forName="Accent1" refType="h" fact="0"/>
                  <dgm:constr type="h" for="ch" forName="Accent1" refType="h"/>
                  <dgm:constr type="w" for="ch" forName="Accent1" refType="h" fact="0.87"/>
                  <dgm:constr type="l" for="ch" forName="Accent1Text" refType="w" fact="0.571"/>
                  <dgm:constr type="t" for="ch" forName="Accent1Text" refType="h" fact="0"/>
                  <dgm:constr type="h" for="ch" forName="Accent1Text" refType="h"/>
                  <dgm:constr type="w" for="ch" forName="Accent1Text" refType="h" fact="0.87"/>
                  <dgm:constr type="l" for="ch" forName="Parent1" refType="w" fact="0.31"/>
                  <dgm:constr type="t" for="ch" forName="Parent1" refType="h" fact="0"/>
                  <dgm:constr type="h" for="ch" forName="Parent1" refType="h"/>
                  <dgm:constr type="w" for="ch" forName="Parent1" refType="h" fact="0.87"/>
                  <dgm:constr type="l" for="ch" forName="Childtext1" refType="w" fact="0"/>
                  <dgm:constr type="t" for="ch" forName="Childtext1" refType="h" fact="0.2"/>
                  <dgm:constr type="w" for="ch" forName="Childtext1" refType="w" fact="0.3"/>
                  <dgm:constr type="h" for="ch" forName="Childtext1" refType="h" fact="0.6"/>
                  <dgm:constr type="l" for="ch" forName="BalanceSpacing" refType="w" fact="0.82"/>
                  <dgm:constr type="t" for="ch" forName="BalanceSpacing" refType="h" fact="0"/>
                  <dgm:constr type="w" for="ch" forName="BalanceSpacing" refType="w" fact="0.18"/>
                  <dgm:constr type="h" for="ch" forName="BalanceSpacing" refType="h"/>
                  <dgm:constr type="l" for="ch" forName="BalanceSpacing1" refType="w" fact="0"/>
                  <dgm:constr type="t" for="ch" forName="BalanceSpacing1" refType="h" fact="0.2"/>
                  <dgm:constr type="w" for="ch" forName="BalanceSpacing1" refType="w" fact="0.3"/>
                  <dgm:constr type="h" for="ch" forName="BalanceSpacing1" refType="h" fact="0.6"/>
                </dgm:constrLst>
              </dgm:else>
            </dgm:choose>
          </dgm:if>
          <dgm:else name="Name6">
            <dgm:choose name="Name7">
              <dgm:if name="Name8" axis="self" ptType="node" func="posOdd" op="equ" val="1">
                <dgm:constrLst>
                  <dgm:constr type="l" for="ch" forName="Accent1" refType="w" fact="0.571"/>
                  <dgm:constr type="t" for="ch" forName="Accent1" refType="h" fact="0"/>
                  <dgm:constr type="h" for="ch" forName="Accent1" refType="h"/>
                  <dgm:constr type="w" for="ch" forName="Accent1" refType="h" fact="0.87"/>
                  <dgm:constr type="l" for="ch" forName="Accent1Text" refType="w" fact="0.571"/>
                  <dgm:constr type="t" for="ch" forName="Accent1Text" refType="h" fact="0"/>
                  <dgm:constr type="h" for="ch" forName="Accent1Text" refType="h"/>
                  <dgm:constr type="w" for="ch" forName="Accent1Text" refType="h" fact="0.87"/>
                  <dgm:constr type="l" for="ch" forName="Parent1" refType="w" fact="0.31"/>
                  <dgm:constr type="t" for="ch" forName="Parent1" refType="h" fact="0"/>
                  <dgm:constr type="h" for="ch" forName="Parent1" refType="h"/>
                  <dgm:constr type="w" for="ch" forName="Parent1" refType="h" fact="0.87"/>
                  <dgm:constr type="l" for="ch" forName="Childtext1" refType="w" fact="0"/>
                  <dgm:constr type="t" for="ch" forName="Childtext1" refType="h" fact="0.2"/>
                  <dgm:constr type="w" for="ch" forName="Childtext1" refType="w" fact="0.3"/>
                  <dgm:constr type="h" for="ch" forName="Childtext1" refType="h" fact="0.6"/>
                  <dgm:constr type="l" for="ch" forName="BalanceSpacing" refType="w" fact="0.82"/>
                  <dgm:constr type="t" for="ch" forName="BalanceSpacing" refType="h" fact="0"/>
                  <dgm:constr type="w" for="ch" forName="BalanceSpacing" refType="w" fact="0.18"/>
                  <dgm:constr type="h" for="ch" forName="BalanceSpacing" refType="h"/>
                </dgm:constrLst>
              </dgm:if>
              <dgm:else name="Name9">
                <dgm:constrLst>
                  <dgm:constr type="l" for="ch" forName="Accent1" refType="w" fact="0.18"/>
                  <dgm:constr type="t" for="ch" forName="Accent1" refType="h" fact="0"/>
                  <dgm:constr type="h" for="ch" forName="Accent1" refType="h"/>
                  <dgm:constr type="w" for="ch" forName="Accent1" refType="h" fact="0.87"/>
                  <dgm:constr type="l" for="ch" forName="Accent1Text" refType="w" fact="0.18"/>
                  <dgm:constr type="t" for="ch" forName="Accent1Text" refType="h" fact="0"/>
                  <dgm:constr type="h" for="ch" forName="Accent1Text" refType="h"/>
                  <dgm:constr type="w" for="ch" forName="Accent1Text" refType="h" fact="0.87"/>
                  <dgm:constr type="l" for="ch" forName="Parent1" refType="w" fact="0.441"/>
                  <dgm:constr type="t" for="ch" forName="Parent1" refType="h" fact="0"/>
                  <dgm:constr type="h" for="ch" forName="Parent1" refType="h"/>
                  <dgm:constr type="w" for="ch" forName="Parent1" refType="h" fact="0.87"/>
                  <dgm:constr type="l" for="ch" forName="Childtext1" refType="w" fact="0.69"/>
                  <dgm:constr type="t" for="ch" forName="Childtext1" refType="h" fact="0.2"/>
                  <dgm:constr type="w" for="ch" forName="Childtext1" refType="w" fact="0.31"/>
                  <dgm:constr type="h" for="ch" forName="Childtext1" refType="h" fact="0.6"/>
                  <dgm:constr type="l" for="ch" forName="BalanceSpacing" refType="w" fact="0"/>
                  <dgm:constr type="t" for="ch" forName="BalanceSpacing" refType="h" fact="0"/>
                  <dgm:constr type="w" for="ch" forName="BalanceSpacing" refType="w" fact="0.18"/>
                  <dgm:constr type="h" for="ch" forName="BalanceSpacing" refType="h"/>
                </dgm:constrLst>
              </dgm:else>
            </dgm:choose>
          </dgm:else>
        </dgm:choose>
        <dgm:layoutNode name="Parent1" styleLbl="node1">
          <dgm:varLst>
            <dgm:chMax val="1"/>
            <dgm:chPref val="1"/>
            <dgm:bulletEnabled val="1"/>
          </dgm:varLst>
          <dgm:alg type="tx"/>
          <dgm:shape xmlns:r="http://schemas.openxmlformats.org/officeDocument/2006/relationships" rot="90" type="hexagon" r:blip="">
            <dgm:adjLst>
              <dgm:adj idx="1" val="0.25"/>
              <dgm:adj idx="2" val="1.1547"/>
            </dgm:adjLst>
          </dgm:shape>
          <dgm:presOf axis="self"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Childtext1" styleLbl="revTx">
          <dgm:varLst>
            <dgm:chMax val="0"/>
            <dgm:chPref val="0"/>
            <dgm:bulletEnabled val="1"/>
          </dgm:varLst>
          <dgm:choose name="Name10">
            <dgm:if name="Name11" func="var" arg="dir" op="equ" val="norm">
              <dgm:choose name="Name12">
                <dgm:if name="Name13" axis="self" ptType="node" func="posOdd" op="equ" val="1">
                  <dgm:alg type="tx">
                    <dgm:param type="parTxLTRAlign" val="l"/>
                  </dgm:alg>
                </dgm:if>
                <dgm:else name="Name14">
                  <dgm:alg type="tx">
                    <dgm:param type="parTxLTRAlign" val="r"/>
                  </dgm:alg>
                </dgm:else>
              </dgm:choose>
            </dgm:if>
            <dgm:else name="Name15">
              <dgm:choose name="Name16">
                <dgm:if name="Name17" axis="self" ptType="node" func="posOdd" op="equ" val="1">
                  <dgm:alg type="tx">
                    <dgm:param type="parTxLTRAlign" val="r"/>
                  </dgm:alg>
                </dgm:if>
                <dgm:else name="Name18">
                  <dgm:alg type="tx">
                    <dgm:param type="parTxLTRAlign" val="l"/>
                  </dgm:alg>
                </dgm:else>
              </dgm:choose>
            </dgm:else>
          </dgm:choose>
          <dgm:shape xmlns:r="http://schemas.openxmlformats.org/officeDocument/2006/relationships" type="rect" r:blip="">
            <dgm:adjLst/>
          </dgm:shape>
          <dgm:presOf axis="des"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BalanceSpacing">
          <dgm:alg type="sp"/>
          <dgm:shape xmlns:r="http://schemas.openxmlformats.org/officeDocument/2006/relationships" r:blip="">
            <dgm:adjLst/>
          </dgm:shape>
        </dgm:layoutNode>
        <dgm:layoutNode name="BalanceSpacing1">
          <dgm:alg type="sp"/>
          <dgm:shape xmlns:r="http://schemas.openxmlformats.org/officeDocument/2006/relationships" r:blip="">
            <dgm:adjLst/>
          </dgm:shape>
        </dgm:layoutNode>
        <dgm:forEach name="Name19" axis="followSib" ptType="sibTrans" hideLastTrans="0" cnt="1">
          <dgm:layoutNode name="Accent1Text" styleLbl="node1">
            <dgm:alg type="tx"/>
            <dgm:shape xmlns:r="http://schemas.openxmlformats.org/officeDocument/2006/relationships" rot="90" type="hexagon" r:blip="">
              <dgm:adjLst>
                <dgm:adj idx="1" val="0.25"/>
                <dgm:adj idx="2" val="1.1547"/>
              </dgm:adjLst>
            </dgm:shape>
            <dgm:presOf axis="self" ptType="sibTrans"/>
            <dgm:constrLst>
              <dgm:constr type="lMarg"/>
              <dgm:constr type="rMarg"/>
              <dgm:constr type="tMarg"/>
              <dgm:constr type="bMarg"/>
            </dgm:constrLst>
            <dgm:ruleLst>
              <dgm:rule type="primFontSz" val="5" fact="NaN" max="NaN"/>
            </dgm:ruleLst>
          </dgm:layoutNode>
        </dgm:forEach>
      </dgm:layoutNode>
      <dgm:forEach name="Name20" axis="followSib" ptType="sibTrans" cnt="1">
        <dgm:layoutNode name="spaceBetweenRectangles">
          <dgm:alg type="sp"/>
          <dgm:shape xmlns:r="http://schemas.openxmlformats.org/officeDocument/2006/relationships" r:blip="">
            <dgm:adjLst/>
          </dgm:shape>
          <dgm:presOf/>
          <dgm:constrLst/>
          <dgm:ruleLst/>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2">
  <dgm:title val=""/>
  <dgm:desc val=""/>
  <dgm:catLst>
    <dgm:cat type="simple" pri="10200"/>
  </dgm:catLst>
  <dgm:scene3d>
    <a:camera prst="orthographicFront"/>
    <a:lightRig rig="threePt" dir="t"/>
  </dgm:scene3d>
  <dgm:styleLbl name="node0">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lnNode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vennNode1">
    <dgm:scene3d>
      <a:camera prst="orthographicFront"/>
      <a:lightRig rig="threePt" dir="t"/>
    </dgm:scene3d>
    <dgm:sp3d/>
    <dgm:txPr/>
    <dgm:style>
      <a:lnRef idx="3">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1">
        <a:scrgbClr r="0" g="0" b="0"/>
      </a:effectRef>
      <a:fontRef idx="minor">
        <a:schemeClr val="lt1"/>
      </a:fontRef>
    </dgm:style>
  </dgm:styleLbl>
  <dgm:styleLbl name="node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fg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2">
  <dgm:title val=""/>
  <dgm:desc val=""/>
  <dgm:catLst>
    <dgm:cat type="simple" pri="10200"/>
  </dgm:catLst>
  <dgm:scene3d>
    <a:camera prst="orthographicFront"/>
    <a:lightRig rig="threePt" dir="t"/>
  </dgm:scene3d>
  <dgm:styleLbl name="node0">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lnNode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vennNode1">
    <dgm:scene3d>
      <a:camera prst="orthographicFront"/>
      <a:lightRig rig="threePt" dir="t"/>
    </dgm:scene3d>
    <dgm:sp3d/>
    <dgm:txPr/>
    <dgm:style>
      <a:lnRef idx="3">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1">
        <a:scrgbClr r="0" g="0" b="0"/>
      </a:effectRef>
      <a:fontRef idx="minor">
        <a:schemeClr val="lt1"/>
      </a:fontRef>
    </dgm:style>
  </dgm:styleLbl>
  <dgm:styleLbl name="node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fg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ad12b6c1-4208-40cd-a392-0a6ade77a50b" xsi:nil="true"/>
    <lcf76f155ced4ddcb4097134ff3c332f xmlns="78e59776-a062-41eb-82f2-f1f2863a73d1">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4BA6931C9968D945AA277EDB8A218FCF" ma:contentTypeVersion="18" ma:contentTypeDescription="Crée un document." ma:contentTypeScope="" ma:versionID="24a6dd99d959a29c0d19094bcaf9ef26">
  <xsd:schema xmlns:xsd="http://www.w3.org/2001/XMLSchema" xmlns:xs="http://www.w3.org/2001/XMLSchema" xmlns:p="http://schemas.microsoft.com/office/2006/metadata/properties" xmlns:ns2="78e59776-a062-41eb-82f2-f1f2863a73d1" xmlns:ns3="ad12b6c1-4208-40cd-a392-0a6ade77a50b" targetNamespace="http://schemas.microsoft.com/office/2006/metadata/properties" ma:root="true" ma:fieldsID="debb7080613cca79a2740f0018dcdbfd" ns2:_="" ns3:_="">
    <xsd:import namespace="78e59776-a062-41eb-82f2-f1f2863a73d1"/>
    <xsd:import namespace="ad12b6c1-4208-40cd-a392-0a6ade77a50b"/>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DateTaken" minOccurs="0"/>
                <xsd:element ref="ns2:MediaServiceOCR"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8e59776-a062-41eb-82f2-f1f2863a73d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DateTaken" ma:index="11" nillable="true" ma:displayName="MediaServiceDateTaken" ma:hidden="true" ma:internalName="MediaServiceDateTaken"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alises d’images" ma:readOnly="false" ma:fieldId="{5cf76f15-5ced-4ddc-b409-7134ff3c332f}" ma:taxonomyMulti="true" ma:sspId="1dd0a826-c279-4889-a048-289124af91c8"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ad12b6c1-4208-40cd-a392-0a6ade77a50b" elementFormDefault="qualified">
    <xsd:import namespace="http://schemas.microsoft.com/office/2006/documentManagement/types"/>
    <xsd:import namespace="http://schemas.microsoft.com/office/infopath/2007/PartnerControls"/>
    <xsd:element name="SharedWithUsers" ma:index="14"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Partagé avec détails" ma:internalName="SharedWithDetails" ma:readOnly="true">
      <xsd:simpleType>
        <xsd:restriction base="dms:Note">
          <xsd:maxLength value="255"/>
        </xsd:restriction>
      </xsd:simpleType>
    </xsd:element>
    <xsd:element name="TaxCatchAll" ma:index="23" nillable="true" ma:displayName="Taxonomy Catch All Column" ma:hidden="true" ma:list="{0b1e8af4-1589-49b2-806b-a7aa26539a7b}" ma:internalName="TaxCatchAll" ma:showField="CatchAllData" ma:web="ad12b6c1-4208-40cd-a392-0a6ade77a50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8926D87C-3FA7-488F-9500-6322F2967EB7}">
  <ds:schemaRefs>
    <ds:schemaRef ds:uri="http://schemas.microsoft.com/office/2006/metadata/properties"/>
    <ds:schemaRef ds:uri="http://schemas.microsoft.com/office/infopath/2007/PartnerControls"/>
    <ds:schemaRef ds:uri="ad12b6c1-4208-40cd-a392-0a6ade77a50b"/>
    <ds:schemaRef ds:uri="78e59776-a062-41eb-82f2-f1f2863a73d1"/>
  </ds:schemaRefs>
</ds:datastoreItem>
</file>

<file path=customXml/itemProps2.xml><?xml version="1.0" encoding="utf-8"?>
<ds:datastoreItem xmlns:ds="http://schemas.openxmlformats.org/officeDocument/2006/customXml" ds:itemID="{34ADC64B-AF89-4985-AF42-B3E6876D7B21}">
  <ds:schemaRefs>
    <ds:schemaRef ds:uri="http://schemas.openxmlformats.org/officeDocument/2006/bibliography"/>
  </ds:schemaRefs>
</ds:datastoreItem>
</file>

<file path=customXml/itemProps3.xml><?xml version="1.0" encoding="utf-8"?>
<ds:datastoreItem xmlns:ds="http://schemas.openxmlformats.org/officeDocument/2006/customXml" ds:itemID="{B82F1CC6-7ABB-4A36-8FB7-7ECE227EDA0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8e59776-a062-41eb-82f2-f1f2863a73d1"/>
    <ds:schemaRef ds:uri="ad12b6c1-4208-40cd-a392-0a6ade77a50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F7641196-7DE0-49DD-8B1D-7A2237710F86}">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143</TotalTime>
  <Pages>40</Pages>
  <Words>15734</Words>
  <Characters>92835</Characters>
  <Application>Microsoft Office Word</Application>
  <DocSecurity>0</DocSecurity>
  <Lines>773</Lines>
  <Paragraphs>216</Paragraphs>
  <ScaleCrop>false</ScaleCrop>
  <HeadingPairs>
    <vt:vector size="6" baseType="variant">
      <vt:variant>
        <vt:lpstr>Název</vt:lpstr>
      </vt:variant>
      <vt:variant>
        <vt:i4>1</vt:i4>
      </vt:variant>
      <vt:variant>
        <vt:lpstr>Título</vt:lpstr>
      </vt:variant>
      <vt:variant>
        <vt:i4>1</vt:i4>
      </vt:variant>
      <vt:variant>
        <vt:lpstr>Títol</vt:lpstr>
      </vt:variant>
      <vt:variant>
        <vt:i4>1</vt:i4>
      </vt:variant>
    </vt:vector>
  </HeadingPairs>
  <TitlesOfParts>
    <vt:vector size="3" baseType="lpstr">
      <vt:lpstr/>
      <vt:lpstr/>
      <vt:lpstr/>
    </vt:vector>
  </TitlesOfParts>
  <Company/>
  <LinksUpToDate>false</LinksUpToDate>
  <CharactersWithSpaces>108353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Unicom Praha</dc:creator>
  <cp:keywords/>
  <dc:description/>
  <cp:lastModifiedBy>MEZ</cp:lastModifiedBy>
  <cp:revision>56</cp:revision>
  <dcterms:created xsi:type="dcterms:W3CDTF">2024-05-21T18:03:00Z</dcterms:created>
  <dcterms:modified xsi:type="dcterms:W3CDTF">2025-10-21T14:45:00Z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0x0101004BA6931C9968D945AA277EDB8A218FCF</vt:lpwstr>
  </property>
  <property fmtid="{D5CDD505-2E9C-101B-9397-08002B2CF9AE}" pid="3" name="MediaServiceImageTags">
    <vt:lpwstr/>
  </property>
</Properties>
</file>